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491—1.5</w:t>
      </w:r>
      <w:r>
        <w:rPr>
          <w:rFonts w:ascii="Times New Roman" w:hAnsi="Times New Roman"/>
          <w:b/>
          <w:i w:val="false"/>
          <w:color w:val="000000"/>
          <w:sz w:val="22"/>
        </w:rPr>
        <w:t xml:space="preserve">(17A,99D,99F) </w:t>
      </w:r>
      <w:r>
        <w:rPr>
          <w:rFonts w:ascii="Times New Roman" w:hAnsi="Times New Roman"/>
          <w:b/>
          <w:i w:val="false"/>
          <w:color w:val="000000"/>
          <w:sz w:val="22"/>
        </w:rPr>
        <w:t xml:space="preserve">Forms. </w:t>
      </w:r>
      <w:r>
        <w:rPr>
          <w:rFonts w:ascii="Times New Roman" w:hAnsi="Times New Roman"/>
          <w:b w:val="false"/>
          <w:i w:val="false"/>
          <w:color w:val="000000"/>
          <w:sz w:val="22"/>
        </w:rPr>
        <w:t>All forms utilized in the conduct of business with the racing and gaming commission shall be available from the commission upon request. These forms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color w:val="000000"/>
          <w:sz w:val="22"/>
        </w:rPr>
        <w:t xml:space="preserve">Racing, gambling structure, or excursion gambling boat license application. </w:t>
      </w:r>
      <w:r>
        <w:rPr>
          <w:rFonts w:ascii="Times New Roman" w:hAnsi="Times New Roman"/>
          <w:b w:val="false"/>
          <w:i w:val="false"/>
          <w:color w:val="000000"/>
          <w:sz w:val="22"/>
        </w:rPr>
        <w:t>This form contains at a minimum the full name of the applicant, all ownership interests, balance sheets and profit-and-loss statements for three fiscal years immediately preceding the application, pending legal action, location and physical plant of the facility, and description of proposed operation. The form may include other information the commission deems necessary to make a decision on the license application. The applicant or applicants also pay or remit the following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initial application fee in the amount of $250,000 to the commission to cover the commission’s actual expenses incurred in processing and evaluating the application. Actual expenses may include but are not limited to the cost of appropriate meeting spaces, facilities, and equipment; transportation, lodging, meals, and other travel-related expenses; market feasibility studies the commission conducts; or consultants the commission retains. The commission will bill the applicant or licensee for additional expenses beyond the initial application fee as appropriate and will refund any unused portion of the fee within 90 days after the license is denied or within 90 days after operation begins.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investigative fee of $50,000 to the department of public safety to complete background investigations. The department of public safety will bill the applicant or licensee for additional fees as appropriate and will refund any unused portion of the investigative fee within 90 days after the license is denied or within 90 days after operation begins.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for racing license. </w:t>
      </w:r>
      <w:r>
        <w:rPr>
          <w:rFonts w:ascii="Times New Roman" w:hAnsi="Times New Roman"/>
          <w:b w:val="false"/>
          <w:i w:val="false"/>
          <w:color w:val="000000"/>
          <w:sz w:val="22"/>
        </w:rPr>
        <w:t>This form shall contain, at a minimum, the full name of the applicant, racing dates, simulcast proposal, feasibility of racing facility, distribution to qualified sponsoring organizations, table of organization, management agreement, articles of incorporation and bylaws, lease agreements, financial statements, information on the gambling treatment program, and description of racetrack operations. The form may include other information the commission deems necessary to make a decision on the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for excursion gambling boat or gambling structure license. </w:t>
      </w:r>
      <w:r>
        <w:rPr>
          <w:rFonts w:ascii="Times New Roman" w:hAnsi="Times New Roman"/>
          <w:b w:val="false"/>
          <w:i w:val="false"/>
          <w:color w:val="000000"/>
          <w:sz w:val="22"/>
        </w:rPr>
        <w:t>This form shall contain, at a minimum, the full name of the applicant, annual fee, distribution to qualified sponsoring organizations, table of organization, internal controls, operating agreement, hours of operation, casino operations, Iowa resources, contracts, guarantee bond, notarized certification of truthfulness, and gambling treatment program. The form may include other information the commission deems necessary to make a decision on the license application. An annual fee to operate an excursion gambling boat shall be based on the passenger-carrying capacity including crew. For a gambling structure, the annual license fee shall be based on the capacity of the gambling structure. The fee shall be $5 per person capacity and accompany this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for racetrack enclosure license. </w:t>
      </w:r>
      <w:r>
        <w:rPr>
          <w:rFonts w:ascii="Times New Roman" w:hAnsi="Times New Roman"/>
          <w:b w:val="false"/>
          <w:i w:val="false"/>
          <w:color w:val="000000"/>
          <w:sz w:val="22"/>
        </w:rPr>
        <w:t>This form shall contain, at a minimum, the full name of the applicant, annual fee, casino operations, internal controls, Iowa resources, guarantee bond, and notarized certification of truthfulness. The form may include other information the commission deems necessary to make a decision on the license application. A $1,000 application fee must accompany this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w:t>
      </w:r>
      <w:r>
        <w:rPr>
          <w:rFonts w:ascii="Times New Roman" w:hAnsi="Times New Roman"/>
          <w:b w:val="false"/>
          <w:i w:val="false"/>
          <w:color w:val="000000"/>
          <w:sz w:val="22"/>
        </w:rPr>
        <w:t> </w:t>
      </w:r>
      <w:r>
        <w:rPr>
          <w:rFonts w:ascii="Times New Roman" w:hAnsi="Times New Roman"/>
          <w:b w:val="false"/>
          <w:i/>
          <w:color w:val="000000"/>
          <w:sz w:val="22"/>
        </w:rPr>
        <w:t xml:space="preserve">Occupational license application. </w:t>
      </w:r>
      <w:r>
        <w:rPr>
          <w:rFonts w:ascii="Times New Roman" w:hAnsi="Times New Roman"/>
          <w:b w:val="false"/>
          <w:i w:val="false"/>
          <w:color w:val="000000"/>
          <w:sz w:val="22"/>
        </w:rPr>
        <w:t xml:space="preserve">This form shall contain, at a minimum, the applicant’s full name, social security number, residence, date of birth, and other personal identifying information that the commission deems necessary. A fee set by the commission shall apply to this application. (Refer to </w:t>
      </w:r>
      <w:hyperlink r:id="rId4">
        <w:r>
          <w:rPr>
            <w:rStyle w:val="Hyperlink"/>
            <w:rFonts w:ascii="Times New Roman" w:hAnsi="Times New Roman"/>
            <w:b w:val="false"/>
            <w:i w:val="false"/>
            <w:color w:val="000000"/>
            <w:sz w:val="22"/>
          </w:rPr>
          <w:t>491—Chapter 6</w:t>
        </w:r>
      </w:hyperlink>
      <w:r>
        <w:rPr>
          <w:rFonts w:ascii="Times New Roman" w:hAnsi="Times New Roman"/>
          <w:b w:val="false"/>
          <w:i w:val="false"/>
          <w:color w:val="000000"/>
          <w:sz w:val="22"/>
        </w:rPr>
        <w:t xml:space="preserve"> for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w:t>
      </w:r>
      <w:r>
        <w:rPr>
          <w:rFonts w:ascii="Times New Roman" w:hAnsi="Times New Roman"/>
          <w:b w:val="false"/>
          <w:i w:val="false"/>
          <w:color w:val="000000"/>
          <w:sz w:val="22"/>
        </w:rPr>
        <w:t> </w:t>
      </w:r>
      <w:r>
        <w:rPr>
          <w:rFonts w:ascii="Times New Roman" w:hAnsi="Times New Roman"/>
          <w:b w:val="false"/>
          <w:i/>
          <w:color w:val="000000"/>
          <w:sz w:val="22"/>
        </w:rPr>
        <w:t xml:space="preserve">Season approvals. </w:t>
      </w:r>
      <w:r>
        <w:rPr>
          <w:rFonts w:ascii="Times New Roman" w:hAnsi="Times New Roman"/>
          <w:b w:val="false"/>
          <w:i w:val="false"/>
          <w:color w:val="000000"/>
          <w:sz w:val="22"/>
        </w:rPr>
        <w:t>This form shall contain, at a minimum, a listing of the department heads and racing officials, minimum purse, purse supplements for Iowa-breds, grading system (greyhound racing only), schedule and wagering format, equipment, security plan, certification, and any other information the commission deems necessary for approval. This request must be submitted 45 days prior to the meet. Any changes to the items approved by the commission shall be requested in writing by the licensee and subject to the written approval of the administrator or commission representative before the change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w:t>
      </w:r>
      <w:r>
        <w:rPr>
          <w:rFonts w:ascii="Times New Roman" w:hAnsi="Times New Roman"/>
          <w:b w:val="false"/>
          <w:i w:val="false"/>
          <w:color w:val="000000"/>
          <w:sz w:val="22"/>
        </w:rPr>
        <w:t> </w:t>
      </w:r>
      <w:r>
        <w:rPr>
          <w:rFonts w:ascii="Times New Roman" w:hAnsi="Times New Roman"/>
          <w:b w:val="false"/>
          <w:i/>
          <w:color w:val="000000"/>
          <w:sz w:val="22"/>
        </w:rPr>
        <w:t xml:space="preserve">Manufacturers and distributors license application. </w:t>
      </w:r>
      <w:r>
        <w:rPr>
          <w:rFonts w:ascii="Times New Roman" w:hAnsi="Times New Roman"/>
          <w:b w:val="false"/>
          <w:i w:val="false"/>
          <w:color w:val="000000"/>
          <w:sz w:val="22"/>
        </w:rPr>
        <w:t xml:space="preserve">This form shall contain at a minimum the full name of the applicant, all ownership interests, balance sheets and profit-and-loss statements for three fiscal years immediately preceding the application, pending legal action, location and physical plant of the applicant, and description of proposed operation. The form may include other information the administrator deems necessary to make a decision on the license application. A license fee of $1,000 for a distributor’s license and a license fee of $250 for a manufacturer’s license shall accompany this application. (Refer to </w:t>
      </w:r>
      <w:hyperlink r:id="rId5">
        <w:r>
          <w:rPr>
            <w:rStyle w:val="Hyperlink"/>
            <w:rFonts w:ascii="Times New Roman" w:hAnsi="Times New Roman"/>
            <w:b w:val="false"/>
            <w:i w:val="false"/>
            <w:color w:val="000000"/>
            <w:sz w:val="22"/>
          </w:rPr>
          <w:t>491—Chapter 11</w:t>
        </w:r>
      </w:hyperlink>
      <w:r>
        <w:rPr>
          <w:rFonts w:ascii="Times New Roman" w:hAnsi="Times New Roman"/>
          <w:b w:val="false"/>
          <w:i w:val="false"/>
          <w:color w:val="000000"/>
          <w:sz w:val="22"/>
        </w:rPr>
        <w:t xml:space="preserve"> for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w:t>
      </w:r>
      <w:r>
        <w:rPr>
          <w:rFonts w:ascii="Times New Roman" w:hAnsi="Times New Roman"/>
          <w:b w:val="false"/>
          <w:i w:val="false"/>
          <w:color w:val="000000"/>
          <w:sz w:val="22"/>
        </w:rPr>
        <w:t> </w:t>
      </w:r>
      <w:r>
        <w:rPr>
          <w:rFonts w:ascii="Times New Roman" w:hAnsi="Times New Roman"/>
          <w:b w:val="false"/>
          <w:i/>
          <w:color w:val="000000"/>
          <w:sz w:val="22"/>
        </w:rPr>
        <w:t xml:space="preserve">Advance deposit wagering license application. </w:t>
      </w:r>
      <w:r>
        <w:rPr>
          <w:rFonts w:ascii="Times New Roman" w:hAnsi="Times New Roman"/>
          <w:b w:val="false"/>
          <w:i w:val="false"/>
          <w:color w:val="000000"/>
          <w:sz w:val="22"/>
        </w:rPr>
        <w:t xml:space="preserve">This form shall contain at a minimum the full name of the applicant, all ownership interests, balance sheets and profit-and-loss statements for three fiscal years immediately preceding the application, pending legal action, location and physical plant of the applicant, and description of proposed operation. The form may include other information the administrator deems necessary to make a decision on the license application. A license fee of $1,000 shall accompany this application. (Refer to </w:t>
      </w:r>
      <w:hyperlink r:id="rId6">
        <w:r>
          <w:rPr>
            <w:rStyle w:val="Hyperlink"/>
            <w:rFonts w:ascii="Times New Roman" w:hAnsi="Times New Roman"/>
            <w:b w:val="false"/>
            <w:i w:val="false"/>
            <w:color w:val="000000"/>
            <w:sz w:val="22"/>
          </w:rPr>
          <w:t>491—Chapter 8</w:t>
        </w:r>
      </w:hyperlink>
      <w:r>
        <w:rPr>
          <w:rFonts w:ascii="Times New Roman" w:hAnsi="Times New Roman"/>
          <w:b w:val="false"/>
          <w:i w:val="false"/>
          <w:color w:val="000000"/>
          <w:sz w:val="22"/>
        </w:rPr>
        <w:t xml:space="preserve"> for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w:t>
      </w:r>
      <w:r>
        <w:rPr>
          <w:rFonts w:ascii="Times New Roman" w:hAnsi="Times New Roman"/>
          <w:b w:val="false"/>
          <w:i w:val="false"/>
          <w:color w:val="000000"/>
          <w:sz w:val="22"/>
        </w:rPr>
        <w:t> </w:t>
      </w:r>
      <w:r>
        <w:rPr>
          <w:rFonts w:ascii="Times New Roman" w:hAnsi="Times New Roman"/>
          <w:b w:val="false"/>
          <w:i/>
          <w:color w:val="000000"/>
          <w:sz w:val="22"/>
        </w:rPr>
        <w:t xml:space="preserve">Asset/stock purchase form for commission approval. </w:t>
      </w:r>
      <w:r>
        <w:rPr>
          <w:rFonts w:ascii="Times New Roman" w:hAnsi="Times New Roman"/>
          <w:b w:val="false"/>
          <w:i w:val="false"/>
          <w:color w:val="000000"/>
          <w:sz w:val="22"/>
        </w:rPr>
        <w:t>This form shall contain at a minimum the full name of the applicant, all ownership interests, balance sheets and profit-and-loss statements for three fiscal years immediately preceding the application, pending legal action, location and physical plant of the applicant, and description of proposed operation. The form may include other information the administrator deems necessary to make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w:t>
      </w:r>
      <w:r>
        <w:rPr>
          <w:rFonts w:ascii="Times New Roman" w:hAnsi="Times New Roman"/>
          <w:b w:val="false"/>
          <w:i w:val="false"/>
          <w:color w:val="000000"/>
          <w:sz w:val="22"/>
        </w:rPr>
        <w:t> </w:t>
      </w:r>
      <w:r>
        <w:rPr>
          <w:rFonts w:ascii="Times New Roman" w:hAnsi="Times New Roman"/>
          <w:b w:val="false"/>
          <w:i/>
          <w:color w:val="000000"/>
          <w:sz w:val="22"/>
        </w:rPr>
        <w:t xml:space="preserve">Sports wagering for excursion gambling boat, gambling structure or racetrack enclosure application. </w:t>
      </w:r>
      <w:r>
        <w:rPr>
          <w:rFonts w:ascii="Times New Roman" w:hAnsi="Times New Roman"/>
          <w:b w:val="false"/>
          <w:i w:val="false"/>
          <w:color w:val="000000"/>
          <w:sz w:val="22"/>
        </w:rPr>
        <w:t>This form shall contain, at a minimum, the full name of the applicant, disclosure of agreements involving sports wagering, a guarantee bond in an amount as determined by the commission, and a notarized certification of truthfulness. The applicant shall pay a nonrefundable application fee in the amount of $45,000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for sports wagering for excursion gambling boat, gambling structure or racetrack enclosure. </w:t>
      </w:r>
      <w:r>
        <w:rPr>
          <w:rFonts w:ascii="Times New Roman" w:hAnsi="Times New Roman"/>
          <w:b w:val="false"/>
          <w:i w:val="false"/>
          <w:color w:val="000000"/>
          <w:sz w:val="22"/>
        </w:rPr>
        <w:t>This form shall contain, at a minimum, the full name of the applicant, a $10,000 annual fee, disclosure of agreements involving sports wagering, sports wagering operations, internal controls, a guarantee bond in an amount as determined by the commission, a gambling treatment program, and a notarized certification of truthfulness. The form may include other information the commission deems necessary to make a decision on the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w:t>
      </w:r>
      <w:r>
        <w:rPr>
          <w:rFonts w:ascii="Times New Roman" w:hAnsi="Times New Roman"/>
          <w:b w:val="false"/>
          <w:i w:val="false"/>
          <w:color w:val="000000"/>
          <w:sz w:val="22"/>
        </w:rPr>
        <w:t> </w:t>
      </w:r>
      <w:r>
        <w:rPr>
          <w:rFonts w:ascii="Times New Roman" w:hAnsi="Times New Roman"/>
          <w:b w:val="false"/>
          <w:i/>
          <w:color w:val="000000"/>
          <w:sz w:val="22"/>
        </w:rPr>
        <w:t xml:space="preserve">Advance deposit sports wagering operator application. </w:t>
      </w:r>
      <w:r>
        <w:rPr>
          <w:rFonts w:ascii="Times New Roman" w:hAnsi="Times New Roman"/>
          <w:b w:val="false"/>
          <w:i w:val="false"/>
          <w:color w:val="000000"/>
          <w:sz w:val="22"/>
        </w:rPr>
        <w:t>This form shall contain, at a minimum, the full name of the applicant, all ownership interests, balance sheets and profit-and-loss statements for three fiscal years immediately preceding the application, pending legal action, agreement with licensed facility or description of proposed operation, a gambling treatment program, and a notarized certification of truthfulness. The form may include other information the commission deems necessary to make a decision on the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w:t>
      </w:r>
      <w:r>
        <w:rPr>
          <w:rFonts w:ascii="Times New Roman" w:hAnsi="Times New Roman"/>
          <w:b w:val="false"/>
          <w:i w:val="false"/>
          <w:color w:val="000000"/>
          <w:sz w:val="22"/>
        </w:rPr>
        <w:t> </w:t>
      </w:r>
      <w:r>
        <w:rPr>
          <w:rFonts w:ascii="Times New Roman" w:hAnsi="Times New Roman"/>
          <w:b w:val="false"/>
          <w:i/>
          <w:color w:val="000000"/>
          <w:sz w:val="22"/>
        </w:rPr>
        <w:t xml:space="preserve">Internet fantasy sports contest application. </w:t>
      </w:r>
      <w:r>
        <w:rPr>
          <w:rFonts w:ascii="Times New Roman" w:hAnsi="Times New Roman"/>
          <w:b w:val="false"/>
          <w:i w:val="false"/>
          <w:color w:val="000000"/>
          <w:sz w:val="22"/>
        </w:rPr>
        <w:t>This form shall contain, at a minimum, the full name of the applicant, board members, all ownership interests, balance sheets and profit-and-loss statements for the fiscal year immediately preceding the application, pending legal action, proof of satisfactory segregation of internet fantasy sports contest player contest funds as determined by the commission, a description of the proposed operation and a notarized certification of truthfulness. The form may include other information the commission deems necessary to make a decision on the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w:t>
      </w:r>
      <w:r>
        <w:rPr>
          <w:rFonts w:ascii="Times New Roman" w:hAnsi="Times New Roman"/>
          <w:b w:val="false"/>
          <w:i w:val="false"/>
          <w:color w:val="000000"/>
          <w:sz w:val="22"/>
        </w:rPr>
        <w:t> </w:t>
      </w:r>
      <w:r>
        <w:rPr>
          <w:rFonts w:ascii="Times New Roman" w:hAnsi="Times New Roman"/>
          <w:b w:val="false"/>
          <w:i/>
          <w:color w:val="000000"/>
          <w:sz w:val="22"/>
        </w:rPr>
        <w:t xml:space="preserve">Alternative simulcast license application. </w:t>
      </w:r>
      <w:r>
        <w:rPr>
          <w:rFonts w:ascii="Times New Roman" w:hAnsi="Times New Roman"/>
          <w:b w:val="false"/>
          <w:i w:val="false"/>
          <w:color w:val="000000"/>
          <w:sz w:val="22"/>
        </w:rPr>
        <w:t>This form shall contain, at a minimum, the full name of the applicant, all ownership interests, balance sheets and profit-and-loss statements for three fiscal years immediately preceding the application, pending legal action, agreement with licensed facility or description of proposed operation, and a notarized certification of truthfulness. The form may include other information the commission deems necessary to make a decision on the license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1506C</w:t>
      </w:r>
      <w:r>
        <w:rPr>
          <w:rFonts w:ascii="Times New Roman" w:hAnsi="Times New Roman"/>
          <w:b w:val="false"/>
          <w:i w:val="false"/>
          <w:color w:val="000000"/>
          <w:sz w:val="16"/>
        </w:rPr>
        <w:t>, IAB 6/25/14, effective 7/30/14</w:t>
      </w:r>
      <w:r>
        <w:rPr>
          <w:rFonts w:ascii="Times New Roman" w:hAnsi="Times New Roman"/>
          <w:b w:val="false"/>
          <w:i w:val="false"/>
          <w:color w:val="000000"/>
          <w:sz w:val="16"/>
        </w:rPr>
        <w:t xml:space="preserve">; </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6894C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i w:val="false"/>
          <w:color w:val="000000"/>
          <w:sz w:val="16"/>
        </w:rPr>
        <w:t>ARC 0184D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91.6.pdf" Type="http://schemas.openxmlformats.org/officeDocument/2006/relationships/hyperlink" Id="rId4"/>
    <Relationship TargetMode="External" Target="https://www.legis.iowa.gov/docs/iac/chapter/491.11.pdf" Type="http://schemas.openxmlformats.org/officeDocument/2006/relationships/hyperlink" Id="rId5"/>
    <Relationship TargetMode="External" Target="https://www.legis.iowa.gov/docs/iac/chapter/491.8.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