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491—1.2</w:t>
      </w:r>
      <w:r>
        <w:rPr>
          <w:rFonts w:ascii="Times New Roman" w:hAnsi="Times New Roman"/>
          <w:b/>
          <w:i w:val="false"/>
          <w:color w:val="000000"/>
          <w:sz w:val="22"/>
        </w:rPr>
        <w:t xml:space="preserve">(99D,99F) </w:t>
      </w:r>
      <w:r>
        <w:rPr>
          <w:rFonts w:ascii="Times New Roman" w:hAnsi="Times New Roman"/>
          <w:b/>
          <w:i w:val="false"/>
          <w:color w:val="000000"/>
          <w:sz w:val="22"/>
        </w:rPr>
        <w:t xml:space="preserve">Organization, meetings,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is located at 6200 Park Avenue, Suite 100, Des Moines, Iowa 50321; telephone 515.281.7352.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consists of five members. The membership shall elect a chairperson and vice-chairperson in July of each year. No chairperson shall serve more than four consecutive one-year full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meets periodically throughout the year and shall meet in July of each year. Notice of a meeting is published on the commission’s website at </w:t>
      </w:r>
      <w:hyperlink r:id="rId4">
        <w:r>
          <w:rPr>
            <w:rStyle w:val="Hyperlink"/>
            <w:rFonts w:ascii="Times New Roman" w:hAnsi="Times New Roman"/>
            <w:b w:val="false"/>
            <w:i w:val="false"/>
            <w:color w:val="000000"/>
            <w:sz w:val="22"/>
            <w:u w:val="single"/>
          </w:rPr>
          <w:t>irgc.iowa.gov/</w:t>
        </w:r>
      </w:hyperlink>
      <w:r>
        <w:rPr>
          <w:rFonts w:ascii="Times New Roman" w:hAnsi="Times New Roman"/>
          <w:b w:val="false"/>
          <w:i w:val="false"/>
          <w:color w:val="000000"/>
          <w:sz w:val="22"/>
        </w:rPr>
        <w:t xml:space="preserve"> at least five days in advance of the meeting or will be sent to interested persons upon request. The notice shall contain the specific date, time, and place of the meeting. Agendas are available to any interested persons not less than five days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commission should submit a written request to the commission office not less than ten working days prior to the meeting. The administrator or commission may place a time limit on presentations after taking into consideration the number of presentations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or electronic meetings may be called by the chairperson only upon a finding of good cause and shall be held in strict accordance with Iowa Code section </w:t>
      </w:r>
      <w:hyperlink r:id="rId5">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All meetings shall be open to the public unless a closed session is voted by four members or all members present for the reasons specified in Iowa Code section </w:t>
      </w:r>
      <w:hyperlink r:id="rId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operation of commission meetings shall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three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an affirmative vote of the majority of the entire membership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commissioner, who is present at a meeting of the commission when action is taken, shall be presumed to have assented to the action unless the commissioner’s dissent was requested to be entered in the minutes. A roll-call vote on any motion may be recorded in the minutes. Reconsideration of any action may only be initiated by a commissioner who voted with the prevailing side. The motion to reconsider any action may be made and seconded before the conclusion of the meeting when the action was approved, or it may be made in writing and submitted to the commission office within two business days following the meeting. Only the mover has the option to request that the motion be held in abeyance, when the motion to reconsider is offered during the same meeting. Any commissioner is eligible to call up the motion to reconsider at the next meeting of the commission. The official minutes shall record the offering of any motion to reconsider, whether placed during the meeting or by timely written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Cases not covered by this rule shall be governed by the most recent edition of Robert’s Rules of Order Newly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rgc.iowa.gov/" Type="http://schemas.openxmlformats.org/officeDocument/2006/relationships/hyperlink" Id="rId4"/>
    <Relationship TargetMode="External" Target="https://www.legis.iowa.gov/docs/ico/chapter/21.4.pdf" Type="http://schemas.openxmlformats.org/officeDocument/2006/relationships/hyperlink" Id="rId5"/>
    <Relationship TargetMode="External" Target="https://www.legis.iowa.gov/docs/ico/chapter/21.8.pdf" Type="http://schemas.openxmlformats.org/officeDocument/2006/relationships/hyperlink" Id="rId6"/>
    <Relationship TargetMode="External" Target="https://www.legis.iowa.gov/docs/ico/chapter/21.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