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489—1.9</w:t>
      </w:r>
      <w:r>
        <w:rPr>
          <w:rFonts w:ascii="Times New Roman" w:hAnsi="Times New Roman"/>
          <w:b/>
          <w:i w:val="false"/>
          <w:color w:val="000000"/>
          <w:sz w:val="22"/>
        </w:rPr>
        <w:t xml:space="preserve">(237) </w:t>
      </w:r>
      <w:r>
        <w:rPr>
          <w:rFonts w:ascii="Times New Roman" w:hAnsi="Times New Roman"/>
          <w:b/>
          <w:i w:val="false"/>
          <w:color w:val="000000"/>
          <w:sz w:val="22"/>
        </w:rPr>
        <w:t xml:space="preserve">Adherence to national guidelines. </w:t>
      </w:r>
      <w:r>
        <w:rPr>
          <w:rFonts w:ascii="Times New Roman" w:hAnsi="Times New Roman"/>
          <w:b w:val="false"/>
          <w:i w:val="false"/>
          <w:color w:val="000000"/>
          <w:sz w:val="22"/>
        </w:rPr>
        <w:t>The National Court Appointed Special Advocate/Guardian ad Litem Association for Children has established a national quality assurance system for CASA programs. The primary goal of the system is to strengthen CASA organizations and support their efforts to provide high-quality child advocacy and achieve the maximum level of excellence. CASA of Iowa shall continue to maintain compliance with the standards and, within the limits of available funding, shall deploy resources to maintain compliance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w:t>
      </w:r>
      <w:r>
        <w:rPr>
          <w:rFonts w:ascii="Times New Roman" w:hAnsi="Times New Roman"/>
          <w:b w:val="false"/>
          <w:i w:val="false"/>
          <w:color w:val="000000"/>
          <w:sz w:val="22"/>
        </w:rPr>
        <w:t> </w:t>
      </w:r>
      <w:r>
        <w:rPr>
          <w:rFonts w:ascii="Times New Roman" w:hAnsi="Times New Roman"/>
          <w:b w:val="false"/>
          <w:i/>
          <w:color w:val="000000"/>
          <w:sz w:val="22"/>
        </w:rPr>
        <w:t xml:space="preserve">CASA advocate qualifications. </w:t>
      </w:r>
      <w:r>
        <w:rPr>
          <w:rFonts w:ascii="Times New Roman" w:hAnsi="Times New Roman"/>
          <w:b w:val="false"/>
          <w:i w:val="false"/>
          <w:color w:val="000000"/>
          <w:sz w:val="22"/>
        </w:rPr>
        <w:t>Potential coaches and advocates shall meet the qualifications defined by the National CASA Association for Children Standards as amended to August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for CASA volunteers. </w:t>
      </w:r>
      <w:r>
        <w:rPr>
          <w:rFonts w:ascii="Times New Roman" w:hAnsi="Times New Roman"/>
          <w:b w:val="false"/>
          <w:i w:val="false"/>
          <w:color w:val="000000"/>
          <w:sz w:val="22"/>
        </w:rPr>
        <w:t>All CASA volunteer applicants shall complete the requirements defined in the National CASA Association for Children Standards as amended to August 1, 2026.</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3.pdf" Type="http://schemas.openxmlformats.org/officeDocument/2006/relationships/hyperlink" Id="rId4"/>
    <Relationship TargetMode="External" Target="https://www.legis.iowa.gov/docs/ico/chapter/237.18.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