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489—1.8</w:t>
      </w:r>
      <w:r>
        <w:rPr>
          <w:rFonts w:ascii="Times New Roman" w:hAnsi="Times New Roman"/>
          <w:b/>
          <w:i w:val="false"/>
          <w:color w:val="000000"/>
          <w:sz w:val="22"/>
        </w:rPr>
        <w:t xml:space="preserve">(237)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Establishing additional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approval of procedures and protocols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and submits to the state board for approval a program policy and procedures manual that provides detailed guidance to department staff and volunteers on application of these rules and the statutes that govern the operation of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Department staff and volunteers are required to comply with the protocols and procedures approved by the state board and the provisions of the policy and procedures manual established by the department and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of program policy is the responsibility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recruiting, screening, selecting, training, and supervising court appointed special advocates.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CASA selection is made in a manner that provides the best match available between the knowledge, skills, abilities, and availability of the advocate and the needs of the child. The assignments shall be made in a manner that avoids conflicts of interest, risk to the child’s or advocate’s safety, or jeopardy to the program’s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selection of the CASA who will serve on an individual case, the court and all interested parties are notified of the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selected CASA continues to serve on the case until the assignment is terminated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1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