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489—1.5</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review. </w:t>
      </w:r>
      <w:r>
        <w:rPr>
          <w:rFonts w:ascii="Times New Roman" w:hAnsi="Times New Roman"/>
          <w:b w:val="false"/>
          <w:i w:val="false"/>
          <w:color w:val="000000"/>
          <w:sz w:val="22"/>
        </w:rPr>
        <w:t xml:space="preserve">The state board is required by Iowa Code section </w:t>
      </w:r>
      <w:hyperlink r:id="rId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completing reviews of the cases of children in foster care, including a recordkeeping system and training requirements for individuals completing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Establishing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policy and procedures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policy and procedures that provide detailed guidance to individuals reviewing the cases of children in foster care on application of these rules and the statutes that govern foster 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reviewing the cases of children in foster care under the oversight of the state board are required to comply with the protocols and procedures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policy and procedures is the responsibility of the department.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Findings and recommendations. </w:t>
      </w:r>
      <w:r>
        <w:rPr>
          <w:rFonts w:ascii="Times New Roman" w:hAnsi="Times New Roman"/>
          <w:b w:val="false"/>
          <w:i w:val="false"/>
          <w:color w:val="000000"/>
          <w:sz w:val="22"/>
        </w:rPr>
        <w:t>The department will submit the findings and recommendations of foster care reviews to the state board. The report to the state board will include information regarding the permanency plan and the progress in attaining the permanency goals.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7">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18.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237.19.pdf" Type="http://schemas.openxmlformats.org/officeDocument/2006/relationships/hyperlink" Id="rId6"/>
    <Relationship TargetMode="External" Target="https://www.legis.iowa.gov/docs/ico/chapter/237.1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