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489—1.3</w:t>
      </w:r>
      <w:r>
        <w:rPr>
          <w:rFonts w:ascii="Times New Roman" w:hAnsi="Times New Roman"/>
          <w:b/>
          <w:i w:val="false"/>
          <w:color w:val="000000"/>
          <w:sz w:val="22"/>
        </w:rPr>
        <w:t xml:space="preserve">(237) </w:t>
      </w:r>
      <w:r>
        <w:rPr>
          <w:rFonts w:ascii="Times New Roman" w:hAnsi="Times New Roman"/>
          <w:b/>
          <w:i w:val="false"/>
          <w:color w:val="000000"/>
          <w:sz w:val="22"/>
        </w:rPr>
        <w:t xml:space="preserve">Leadership.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val="false"/>
          <w:color w:val="000000"/>
          <w:sz w:val="22"/>
        </w:rPr>
        <w:t>The director ensures adequate leadership, oversight of programs, and ongoing administration of the state board’s activities and of the court appointed special advocate program. The director employs, discharges, trains, and supervises foster care review and court appointed special advocate program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val="false"/>
          <w:color w:val="000000"/>
          <w:sz w:val="22"/>
        </w:rPr>
        <w:t>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Administer funds necessary for operations of foster care reviews and the court appointed special advocate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 and implement policies and procedures needed to implement requirements of federal law and regulations and state law and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Develop and recommend administrative rules for promulgation by the state board as needed to govern the operation of the state board, foster care reviews, and the court appointed special advocate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 training is provided for state board members, court appointed special advocates and coaches, and any other volunteers supporting the state board’s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Ensure that relationships are developed and maintained with judges, juvenile court referees, local departments, juvenile court services, and advocacy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Coordinate efforts to ensure community awareness of the state board and the court appointed special advocate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Work closely with allied agencies and associations to ensure that efforts relating to the state board and the court appointed special advocate program are coordinated and consistent.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237.18(5)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0344D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3.pdf" Type="http://schemas.openxmlformats.org/officeDocument/2006/relationships/hyperlink" Id="rId4"/>
    <Relationship TargetMode="External" Target="https://www.legis.iowa.gov/docs/ico/chapter/237.18.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