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371—9.15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4">
        <w:r>
          <w:rPr>
            <w:rStyle w:val="Hyperlink"/>
            <w:rFonts w:ascii="Times New Roman" w:hAnsi="Times New Roman"/>
            <w:b w:val="false"/>
            <w:i w:val="false"/>
            <w:color w:val="000000"/>
            <w:sz w:val="22"/>
          </w:rPr>
          <w:t>9.1(17A,22)</w:t>
        </w:r>
      </w:hyperlink>
      <w:r>
        <w:rPr>
          <w:rFonts w:ascii="Times New Roman" w:hAnsi="Times New Roman"/>
          <w:b w:val="false"/>
          <w:i w:val="false"/>
          <w:color w:val="000000"/>
          <w:sz w:val="22"/>
        </w:rPr>
        <w:t xml:space="preserve">. These records are routinely available to the public. However, the agency’s files of these records may contain confidential information as discussed in rule </w:t>
      </w:r>
      <w:hyperlink r:id="rId5">
        <w:r>
          <w:rPr>
            <w:rStyle w:val="Hyperlink"/>
            <w:rFonts w:ascii="Times New Roman" w:hAnsi="Times New Roman"/>
            <w:b w:val="false"/>
            <w:i w:val="false"/>
            <w:color w:val="000000"/>
            <w:sz w:val="22"/>
          </w:rPr>
          <w:t>9.13(17A,22)</w:t>
        </w:r>
      </w:hyperlink>
      <w:r>
        <w:rPr>
          <w:rFonts w:ascii="Times New Roman" w:hAnsi="Times New Roman"/>
          <w:b w:val="false"/>
          <w:i w:val="false"/>
          <w:color w:val="000000"/>
          <w:sz w:val="22"/>
        </w:rPr>
        <w:t>. The records listed may contain information about individuals.</w:t>
      </w:r>
    </w:p>
    <w:p>
      <w:pPr>
        <w:spacing w:before="0" w:after="0"/>
        <w:ind w:left="120"/>
        <w:jc w:val="both"/>
      </w:pPr>
      <w:r>
        <w:rPr>
          <w:rFonts w:ascii="Times New Roman" w:hAnsi="Times New Roman"/>
          <w:b w:val="false"/>
          <w:i w:val="false"/>
          <w:color w:val="000000"/>
          <w:sz w:val="22"/>
        </w:rPr>
        <w:t xml:space="preserve">Council and commission records. Agendas, minutes, and materials presented to the fair board are available from the office of the fair board, except those records concerning closed sessions which are exempt from disclosure under Iowa Code section </w:t>
      </w:r>
      <w:hyperlink r:id="rId6">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 Fair board records contain information about people who participate in meetings. This information is collected pursuant to Iowa Code section </w:t>
      </w:r>
      <w:hyperlink r:id="rId7">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on an automated data processing system.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Administrative records. This includes documents concerning budget, property inventory, purchasing, yearly reports, office policies for employees, time sheets, printing and supply requisitions.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Publications. The office receives a number of books, periodicals, newsletters, government documents,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These materials would generally be open to the public but may be protected by copyright law. Most publications of general interest are available in the state law library.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Office publications. This office issues a variety of materials including premium books and newsletters, brochures and pamphlets, press releases, and statistical reports.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Rule-making records. Public documents generated during the promulgation of agency rules, including notices and public comments, are available for public inspection.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Office manuals. Information in office manuals such as the Superintendents Manual may be confidential under Iowa Code section </w:t>
      </w:r>
      <w:hyperlink r:id="rId8">
        <w:r>
          <w:rPr>
            <w:rStyle w:val="Hyperlink"/>
            <w:rFonts w:ascii="Times New Roman" w:hAnsi="Times New Roman"/>
            <w:b w:val="false"/>
            <w:i w:val="false"/>
            <w:color w:val="000000"/>
            <w:sz w:val="22"/>
          </w:rPr>
          <w:t>17A.2(7)</w:t>
        </w:r>
        <w:r>
          <w:rPr>
            <w:rFonts w:ascii="Times New Roman" w:hAnsi="Times New Roman"/>
            <w:b w:val="false"/>
            <w:i/>
            <w:color w:val="000000"/>
            <w:sz w:val="22"/>
          </w:rPr>
          <w:t>“f”</w:t>
        </w:r>
      </w:hyperlink>
      <w:r>
        <w:rPr>
          <w:rFonts w:ascii="Times New Roman" w:hAnsi="Times New Roman"/>
          <w:b w:val="false"/>
          <w:i w:val="false"/>
          <w:color w:val="000000"/>
          <w:sz w:val="22"/>
        </w:rPr>
        <w:t xml:space="preserve"> or other applicable provision of law.</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All other records that are not exempted from disclosure by law.</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371.9.1.pdf" Type="http://schemas.openxmlformats.org/officeDocument/2006/relationships/hyperlink" Id="rId4"/>
    <Relationship TargetMode="External" Target="https://www.legis.iowa.gov/docs/iac/rule/371.9.13.pdf" Type="http://schemas.openxmlformats.org/officeDocument/2006/relationships/hyperlink" Id="rId5"/>
    <Relationship TargetMode="External" Target="https://www.legis.iowa.gov/docs/ico/chapter/21.5.pdf" Type="http://schemas.openxmlformats.org/officeDocument/2006/relationships/hyperlink" Id="rId6"/>
    <Relationship TargetMode="External" Target="https://www.legis.iowa.gov/docs/ico/chapter/21.3.pdf" Type="http://schemas.openxmlformats.org/officeDocument/2006/relationships/hyperlink" Id="rId7"/>
    <Relationship TargetMode="External" Target="https://www.legis.iowa.gov/docs/ico/chapter/17A.2.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