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351—1.3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(68B)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Processing of advisory opinion requests; routine administrative advice.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Requests for board advisory opinions shall be sent to the board’s legal counsel in writing.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After receiving a qualified opinion request, the board’s legal counsel shall prepare a draft opinion for board review. Upon an affirmative vote, the board will issue an advisory opinion. Advice contained in an advisory opinion, if followed, constitutes a defense to a subsequent complaint that is based on the same facts and circumstances.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person who receives an advisory opinion may, within 30 days after the issuance of the opinion, request modification or reconsideration of the opinion. A request for modification or reconsideration shall be deemed denied unless the board acts upon the request within 60 days of receipt of the request.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1.3(4)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Advisory opinions are public records and shall be made available via the board’s website.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1.3(5)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Nothing in this rule precludes board staff from providing oral or written routine administrative advice when presented with oral or written inquiries from any person.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1.3(6)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Nothing in this rule precludes a person who has received routine administrative advice from petitioning for a declaratory order. The board will refuse to issue a declaratory order to a person who has previously received a board opinion on the same question, unless the requester demonstrates a significant change in circumstances from those in the original opinion.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68B.32A(12)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0233D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4/29/26, effective 6/3/26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68B.32A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