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351—1.1</w:t>
      </w:r>
      <w:r>
        <w:rPr>
          <w:rFonts w:ascii="Times New Roman" w:hAnsi="Times New Roman"/>
          <w:b/>
          <w:i w:val="false"/>
          <w:color w:val="000000"/>
          <w:sz w:val="22"/>
        </w:rPr>
        <w:t xml:space="preserve">(68A,68B) </w:t>
      </w:r>
      <w:r>
        <w:rPr>
          <w:rFonts w:ascii="Times New Roman" w:hAnsi="Times New Roman"/>
          <w:b/>
          <w:i w:val="false"/>
          <w:color w:val="000000"/>
          <w:sz w:val="22"/>
        </w:rPr>
        <w:t xml:space="preserve">General agency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Board established. </w:t>
      </w:r>
      <w:r>
        <w:rPr>
          <w:rFonts w:ascii="Times New Roman" w:hAnsi="Times New Roman"/>
          <w:b w:val="false"/>
          <w:i w:val="false"/>
          <w:color w:val="000000"/>
          <w:sz w:val="22"/>
        </w:rPr>
        <w:t xml:space="preserve">The Iowa ethics and campaign disclosure board is established as an independent agency of the executive branch of state government with the authority, powers, and duties set out in Iowa Code chapters </w:t>
      </w:r>
      <w:hyperlink r:id="rId4">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Election of officers. </w:t>
      </w:r>
      <w:r>
        <w:rPr>
          <w:rFonts w:ascii="Times New Roman" w:hAnsi="Times New Roman"/>
          <w:b w:val="false"/>
          <w:i w:val="false"/>
          <w:color w:val="000000"/>
          <w:sz w:val="22"/>
        </w:rPr>
        <w:t>On an annual basis at the board’s first meeting after April 30, the members shall elect a chair and vice chair, and members may be reelected or elected to a different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color w:val="000000"/>
          <w:sz w:val="22"/>
        </w:rPr>
        <w:t xml:space="preserve">Board meetings. </w:t>
      </w:r>
      <w:r>
        <w:rPr>
          <w:rFonts w:ascii="Times New Roman" w:hAnsi="Times New Roman"/>
          <w:b w:val="false"/>
          <w:i w:val="false"/>
          <w:color w:val="000000"/>
          <w:sz w:val="22"/>
        </w:rPr>
        <w:t>Meetings of the board are held at the call of the chair or at the request of at least four board members. Minutes of meetings are available for viewing via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w:t>
      </w:r>
      <w:r>
        <w:rPr>
          <w:rFonts w:ascii="Times New Roman" w:hAnsi="Times New Roman"/>
          <w:b w:val="false"/>
          <w:i w:val="false"/>
          <w:color w:val="000000"/>
          <w:sz w:val="22"/>
        </w:rPr>
        <w:t> </w:t>
      </w:r>
      <w:r>
        <w:rPr>
          <w:rFonts w:ascii="Times New Roman" w:hAnsi="Times New Roman"/>
          <w:b w:val="false"/>
          <w:i/>
          <w:color w:val="000000"/>
          <w:sz w:val="22"/>
        </w:rPr>
        <w:t xml:space="preserve">Voting and procedure. </w:t>
      </w:r>
      <w:r>
        <w:rPr>
          <w:rFonts w:ascii="Times New Roman" w:hAnsi="Times New Roman"/>
          <w:b w:val="false"/>
          <w:i w:val="false"/>
          <w:color w:val="000000"/>
          <w:sz w:val="22"/>
        </w:rPr>
        <w:t>Four board members constitute a quorum for conducting the business of the board. An affirmative vote of four board members is required for a motion to pass. The meetings shall be generally conducted according to rules of parliamentary procedure.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68B.32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68B.32A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0233D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8A.pdf" Type="http://schemas.openxmlformats.org/officeDocument/2006/relationships/hyperlink" Id="rId4"/>
    <Relationship TargetMode="External" Target="https://www.legis.iowa.gov/docs/ico/chapter/68B.pdf" Type="http://schemas.openxmlformats.org/officeDocument/2006/relationships/hyperlink" Id="rId5"/>
    <Relationship TargetMode="External" Target="https://www.legis.iowa.gov/docs/ico/chapter/68B.32.pdf" Type="http://schemas.openxmlformats.org/officeDocument/2006/relationships/hyperlink" Id="rId6"/>
    <Relationship TargetMode="External" Target="https://www.legis.iowa.gov/docs/ico/chapter/68B.32A.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