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282—5.13</w:t>
      </w:r>
      <w:r>
        <w:rPr>
          <w:rFonts w:ascii="Times New Roman" w:hAnsi="Times New Roman"/>
          <w:b/>
          <w:i w:val="false"/>
          <w:color w:val="000000"/>
          <w:sz w:val="22"/>
        </w:rPr>
        <w:t xml:space="preserve">(22,256)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board other than record systems as defined in rule </w:t>
      </w:r>
      <w:hyperlink r:id="rId4">
        <w:r>
          <w:rPr>
            <w:rStyle w:val="Hyperlink"/>
            <w:rFonts w:ascii="Times New Roman" w:hAnsi="Times New Roman"/>
            <w:b w:val="false"/>
            <w:i w:val="false"/>
            <w:color w:val="000000"/>
            <w:sz w:val="22"/>
          </w:rPr>
          <w:t>282—5.1</w:t>
        </w:r>
      </w:hyperlink>
      <w:r>
        <w:rPr>
          <w:rFonts w:ascii="Times New Roman" w:hAnsi="Times New Roman"/>
          <w:b w:val="false"/>
          <w:i w:val="false"/>
          <w:color w:val="000000"/>
          <w:sz w:val="22"/>
        </w:rPr>
        <w:t>(17A,22). These records are routinely available to the public. However, the board’s files of these records may contain confidential information, which will be addressed as provided in this chapter.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or proposing rules or rule amendments. This information is collected pursuant to Iowa Code sections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electronically and not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Records contain agendas, minutes, and materials presented to the board. Records concerning closed sessions are exempt from disclosure under Iowa Code section </w:t>
      </w:r>
      <w:hyperlink r:id="rId8">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Board records contain information about people who participate in meetings. This information is collected under the authority of Iowa Code section </w:t>
      </w:r>
      <w:hyperlink r:id="rId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Board records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brochures, annual reports, video tapes, and other informational materials that describe various agency programs. Agency publications may contain information about individuals, including agency staff or members of the board.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agency decisions are available from the board. Statistical reports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Address lists/directories. </w:t>
      </w:r>
      <w:r>
        <w:rPr>
          <w:rFonts w:ascii="Times New Roman" w:hAnsi="Times New Roman"/>
          <w:b w:val="false"/>
          <w:i w:val="false"/>
          <w:color w:val="000000"/>
          <w:sz w:val="22"/>
        </w:rPr>
        <w:t xml:space="preserve">The names and mailing addresses of members of boards in other states, professional organizations, public press, and members of the general public evidencing interest in particular events of the agency are maintained in order to provide mailing labels for mass distribution of literature. This information is collected under the provisions of Iowa Code chapter </w:t>
      </w:r>
      <w:hyperlink r:id="rId1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Case decisions and declaratory rulings. </w:t>
      </w:r>
      <w:r>
        <w:rPr>
          <w:rFonts w:ascii="Times New Roman" w:hAnsi="Times New Roman"/>
          <w:b w:val="false"/>
          <w:i w:val="false"/>
          <w:color w:val="000000"/>
          <w:sz w:val="22"/>
        </w:rPr>
        <w:t xml:space="preserve">All final orders, decisions and rulings are available for public inspection in accordance with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of the appeals or rulings. This information is collected pursuant to Iowa Code chapters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5.13(7)</w:t>
      </w:r>
      <w:r>
        <w:rPr>
          <w:rFonts w:ascii="Times New Roman" w:hAnsi="Times New Roman"/>
          <w:b w:val="false"/>
          <w:i w:val="false"/>
          <w:color w:val="000000"/>
          <w:sz w:val="22"/>
        </w:rPr>
        <w:t> </w:t>
      </w:r>
      <w:r>
        <w:rPr>
          <w:rFonts w:ascii="Times New Roman" w:hAnsi="Times New Roman"/>
          <w:b w:val="false"/>
          <w:i/>
          <w:color w:val="000000"/>
          <w:sz w:val="22"/>
        </w:rPr>
        <w:t xml:space="preserve">Board budget records. </w:t>
      </w:r>
      <w:r>
        <w:rPr>
          <w:rFonts w:ascii="Times New Roman" w:hAnsi="Times New Roman"/>
          <w:b w:val="false"/>
          <w:i w:val="false"/>
          <w:color w:val="000000"/>
          <w:sz w:val="22"/>
        </w:rPr>
        <w:t>These records contain data used by the board to develop annual budgets. These records are stored electronically and not in an automated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2.5.1.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7.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3.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56.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