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223—1.6</w:t>
      </w:r>
      <w:r>
        <w:rPr>
          <w:rFonts w:ascii="Times New Roman" w:hAnsi="Times New Roman"/>
          <w:b/>
          <w:i w:val="false"/>
          <w:color w:val="000000"/>
          <w:sz w:val="22"/>
        </w:rPr>
        <w:t xml:space="preserve">(303) </w:t>
      </w:r>
      <w:r>
        <w:rPr>
          <w:rFonts w:ascii="Times New Roman" w:hAnsi="Times New Roman"/>
          <w:b/>
          <w:i w:val="false"/>
          <w:color w:val="000000"/>
          <w:sz w:val="22"/>
        </w:rPr>
        <w:t xml:space="preserve">Board of trustees.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Function. </w:t>
      </w:r>
      <w:r>
        <w:rPr>
          <w:rFonts w:ascii="Times New Roman" w:hAnsi="Times New Roman"/>
          <w:b w:val="false"/>
          <w:i w:val="false"/>
          <w:color w:val="000000"/>
          <w:sz w:val="22"/>
        </w:rPr>
        <w:t>The function of the society board of trustees is to advise the administrator of the society and to stimulate interest in the history of Iowa among the general public, as well as other functions that are not contrary to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Two categories of membership exist for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Elected members. </w:t>
      </w:r>
      <w:r>
        <w:rPr>
          <w:rFonts w:ascii="Times New Roman" w:hAnsi="Times New Roman"/>
          <w:b w:val="false"/>
          <w:i w:val="false"/>
          <w:color w:val="000000"/>
          <w:sz w:val="22"/>
        </w:rPr>
        <w:t xml:space="preserve">In compliance with Iowa Code subsection </w:t>
      </w:r>
      <w:hyperlink r:id="rId4">
        <w:r>
          <w:rPr>
            <w:rStyle w:val="Hyperlink"/>
            <w:rFonts w:ascii="Times New Roman" w:hAnsi="Times New Roman"/>
            <w:b w:val="false"/>
            <w:i w:val="false"/>
            <w:color w:val="000000"/>
            <w:sz w:val="22"/>
          </w:rPr>
          <w:t>303.4(1)</w:t>
        </w:r>
      </w:hyperlink>
      <w:r>
        <w:rPr>
          <w:rFonts w:ascii="Times New Roman" w:hAnsi="Times New Roman"/>
          <w:b w:val="false"/>
          <w:i w:val="false"/>
          <w:color w:val="000000"/>
          <w:sz w:val="22"/>
        </w:rPr>
        <w:t xml:space="preserve">, three members of the board of trustees shall be elected annually. The board of trustees shall establish written procedures for the conduct of the election. A society member may nominate a candidate by contacting the administrator. Each member of the society shall be entitled to one vote regardless of membership category. Elected board members shall serve three-year, staggered terms of office. Terms of office shall begin on May 1 consistent with Iowa Code section </w:t>
      </w:r>
      <w:hyperlink r:id="rId5">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Appointed members. </w:t>
      </w:r>
      <w:r>
        <w:rPr>
          <w:rFonts w:ascii="Times New Roman" w:hAnsi="Times New Roman"/>
          <w:b w:val="false"/>
          <w:i w:val="false"/>
          <w:color w:val="000000"/>
          <w:sz w:val="22"/>
        </w:rPr>
        <w:t xml:space="preserve">In compliance with Iowa Code subsection </w:t>
      </w:r>
      <w:hyperlink r:id="rId6">
        <w:r>
          <w:rPr>
            <w:rStyle w:val="Hyperlink"/>
            <w:rFonts w:ascii="Times New Roman" w:hAnsi="Times New Roman"/>
            <w:b w:val="false"/>
            <w:i w:val="false"/>
            <w:color w:val="000000"/>
            <w:sz w:val="22"/>
          </w:rPr>
          <w:t>303.4(1)</w:t>
        </w:r>
      </w:hyperlink>
      <w:r>
        <w:rPr>
          <w:rFonts w:ascii="Times New Roman" w:hAnsi="Times New Roman"/>
          <w:b w:val="false"/>
          <w:i w:val="false"/>
          <w:color w:val="000000"/>
          <w:sz w:val="22"/>
        </w:rPr>
        <w:t xml:space="preserve">, the governor shall appoint nine members to the board. Terms of office shall be in accordance with Iowa Code subsection </w:t>
      </w:r>
      <w:hyperlink r:id="rId7">
        <w:r>
          <w:rPr>
            <w:rStyle w:val="Hyperlink"/>
            <w:rFonts w:ascii="Times New Roman" w:hAnsi="Times New Roman"/>
            <w:b w:val="false"/>
            <w:i w:val="false"/>
            <w:color w:val="000000"/>
            <w:sz w:val="22"/>
          </w:rPr>
          <w:t>303.4(2)</w:t>
        </w:r>
      </w:hyperlink>
      <w:r>
        <w:rPr>
          <w:rFonts w:ascii="Times New Roman" w:hAnsi="Times New Roman"/>
          <w:b w:val="false"/>
          <w:i w:val="false"/>
          <w:color w:val="000000"/>
          <w:sz w:val="22"/>
        </w:rPr>
        <w:t xml:space="preserve"> and consistent with Iowa Code section </w:t>
      </w:r>
      <w:hyperlink r:id="rId8">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 xml:space="preserve">Pursuant to Iowa Code section </w:t>
      </w:r>
      <w:hyperlink r:id="rId9">
        <w:r>
          <w:rPr>
            <w:rStyle w:val="Hyperlink"/>
            <w:rFonts w:ascii="Times New Roman" w:hAnsi="Times New Roman"/>
            <w:b w:val="false"/>
            <w:i w:val="false"/>
            <w:color w:val="000000"/>
            <w:sz w:val="22"/>
          </w:rPr>
          <w:t>303.6</w:t>
        </w:r>
      </w:hyperlink>
      <w:r>
        <w:rPr>
          <w:rFonts w:ascii="Times New Roman" w:hAnsi="Times New Roman"/>
          <w:b w:val="false"/>
          <w:i w:val="false"/>
          <w:color w:val="000000"/>
          <w:sz w:val="22"/>
        </w:rPr>
        <w:t>, the board of trustees of the society shall annually elect a chairperson and a vice chairperson from its membership. The administrator of the society serves as secretary to the board of trustees. Election of officers shall be held annually at the first meeting of the board following the installation of new members. Election is by a two-thirds vote of all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board of trustees shall meet at least four times per year in accordance with a schedule established by the board. A two-thirds majority of all members of the board shall constitute a quorum to conduct business. All meetings are open to the public under Iowa Code chapter </w:t>
      </w:r>
      <w:hyperlink r:id="rId1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Public notice of all meetings shall be posted in accordance with Iowa Code chapter </w:t>
      </w:r>
      <w:hyperlink r:id="rId1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Committees—appointment. </w:t>
      </w:r>
      <w:r>
        <w:rPr>
          <w:rFonts w:ascii="Times New Roman" w:hAnsi="Times New Roman"/>
          <w:b w:val="false"/>
          <w:i w:val="false"/>
          <w:color w:val="000000"/>
          <w:sz w:val="22"/>
        </w:rPr>
        <w:t>Committees of the board of trustees may be appointed on an ad hoc basis by the chairperson of the board. Nonboard members may be appointed to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The following definitions apply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“Affinity”</w:t>
      </w:r>
      <w:r>
        <w:rPr>
          <w:rFonts w:ascii="Times New Roman" w:hAnsi="Times New Roman"/>
          <w:b w:val="false"/>
          <w:i w:val="false"/>
          <w:color w:val="000000"/>
          <w:sz w:val="22"/>
        </w:rPr>
        <w:t> </w:t>
      </w:r>
      <w:r>
        <w:rPr>
          <w:rFonts w:ascii="Times New Roman" w:hAnsi="Times New Roman"/>
          <w:b w:val="false"/>
          <w:i w:val="false"/>
          <w:color w:val="000000"/>
          <w:sz w:val="22"/>
        </w:rPr>
        <w:t>means the relationship of a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“Consanguinity of the second degree”</w:t>
      </w:r>
      <w:r>
        <w:rPr>
          <w:rFonts w:ascii="Times New Roman" w:hAnsi="Times New Roman"/>
          <w:b w:val="false"/>
          <w:i w:val="false"/>
          <w:color w:val="000000"/>
          <w:sz w:val="22"/>
        </w:rPr>
        <w:t> </w:t>
      </w:r>
      <w:r>
        <w:rPr>
          <w:rFonts w:ascii="Times New Roman" w:hAnsi="Times New Roman"/>
          <w:b w:val="false"/>
          <w:i w:val="false"/>
          <w:color w:val="000000"/>
          <w:sz w:val="22"/>
        </w:rPr>
        <w:t>means a blood relationship of the second degree such as a brother/sister, grandparent, grandchild.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any claim, account, job of work, grant application, provision of materials, or manuscript submitted for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board member who has an interest, either direct or indirect, within consanguinity of the second degree, in any contract in which the society is or might become a party shall disclose the interest to the board. The interest shall be noted in the minutes of a board meeting. When the contract requires board action, the affected member shall not participate in any discussion or action by the board with respect to the contract. The affected member shall be disqualified from voting on the contract issue by reason of the conflict. The quorum of the board shall not be changed as the result of a conflict of interest disqualification.</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03.4.pdf" Type="http://schemas.openxmlformats.org/officeDocument/2006/relationships/hyperlink" Id="rId4"/>
    <Relationship TargetMode="External" Target="https://www.legis.iowa.gov/docs/ico/chapter/69.19.pdf" Type="http://schemas.openxmlformats.org/officeDocument/2006/relationships/hyperlink" Id="rId5"/>
    <Relationship TargetMode="External" Target="https://www.legis.iowa.gov/docs/ico/chapter/303.4.pdf" Type="http://schemas.openxmlformats.org/officeDocument/2006/relationships/hyperlink" Id="rId6"/>
    <Relationship TargetMode="External" Target="https://www.legis.iowa.gov/docs/ico/chapter/303.4.pdf" Type="http://schemas.openxmlformats.org/officeDocument/2006/relationships/hyperlink" Id="rId7"/>
    <Relationship TargetMode="External" Target="https://www.legis.iowa.gov/docs/ico/chapter/69.19.pdf" Type="http://schemas.openxmlformats.org/officeDocument/2006/relationships/hyperlink" Id="rId8"/>
    <Relationship TargetMode="External" Target="https://www.legis.iowa.gov/docs/ico/chapter/303.6.pdf" Type="http://schemas.openxmlformats.org/officeDocument/2006/relationships/hyperlink" Id="rId9"/>
    <Relationship TargetMode="External" Target="https://www.legis.iowa.gov/docs/ico/chapter/21.pdf" Type="http://schemas.openxmlformats.org/officeDocument/2006/relationships/hyperlink" Id="rId10"/>
    <Relationship TargetMode="External" Target="https://www.legis.iowa.gov/docs/ico/chapter/2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