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223—1.5</w:t>
      </w:r>
      <w:r>
        <w:rPr>
          <w:rFonts w:ascii="Times New Roman" w:hAnsi="Times New Roman"/>
          <w:b/>
          <w:i w:val="false"/>
          <w:color w:val="000000"/>
          <w:sz w:val="22"/>
        </w:rPr>
        <w:t xml:space="preserve">(303) </w:t>
      </w:r>
      <w:r>
        <w:rPr>
          <w:rFonts w:ascii="Times New Roman" w:hAnsi="Times New Roman"/>
          <w:b/>
          <w:i w:val="false"/>
          <w:color w:val="000000"/>
          <w:sz w:val="22"/>
        </w:rPr>
        <w:t xml:space="preserve">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society operates two major facilities: The State Historical Building, 600 East Locust Street, Des Moines, Iowa 50319, and the Centennial Building, 402 Iowa Avenue,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society also operates eight historic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Abbie Gardner Sharp Cabin, Arnolds Park, Iowa 51331;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Gothic House, Eldon, Iowa 52554;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Blood Run National Historic Landmark, Inwood, Iowa 51240;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Matthew Edel Blacksmith Shop, Haverhill, Iowa 50120;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Montauk, Union Sunday School, and Clermont Museum,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Plum Grove,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Toolesboro Mounds National Historic Landmark, Wapello, Iowa 52653;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Internet website. </w:t>
      </w:r>
      <w:r>
        <w:rPr>
          <w:rFonts w:ascii="Times New Roman" w:hAnsi="Times New Roman"/>
          <w:b w:val="false"/>
          <w:i w:val="false"/>
          <w:color w:val="000000"/>
          <w:sz w:val="22"/>
        </w:rPr>
        <w:t xml:space="preserve">The society’s Internet home page is located at </w:t>
      </w:r>
      <w:hyperlink r:id="rId4">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Hours and days of operation. </w:t>
      </w:r>
      <w:r>
        <w:rPr>
          <w:rFonts w:ascii="Times New Roman" w:hAnsi="Times New Roman"/>
          <w:b w:val="false"/>
          <w:i w:val="false"/>
          <w:color w:val="000000"/>
          <w:sz w:val="22"/>
        </w:rPr>
        <w:t>Public hours and days of operation shall be posted at each society facility and on the society’s Internet website. The hours for all facilities shall be approved by the director, or designee, upon recommendation of the administrator. Changes in the hours for a facility shall be effective upon 30 days’ notice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may be charged and collected by the society and shall be administered according to Iowa Code section </w:t>
      </w:r>
      <w:hyperlink r:id="rId5">
        <w:r>
          <w:rPr>
            <w:rStyle w:val="Hyperlink"/>
            <w:rFonts w:ascii="Times New Roman" w:hAnsi="Times New Roman"/>
            <w:b w:val="false"/>
            <w:i w:val="false"/>
            <w:color w:val="000000"/>
            <w:sz w:val="22"/>
          </w:rPr>
          <w:t>303.9</w:t>
        </w:r>
      </w:hyperlink>
      <w:r>
        <w:rPr>
          <w:rFonts w:ascii="Times New Roman" w:hAnsi="Times New Roman"/>
          <w:b w:val="false"/>
          <w:i w:val="false"/>
          <w:color w:val="000000"/>
          <w:sz w:val="22"/>
        </w:rPr>
        <w:t>. Fees may be charged for, but are not limited to: facilities rental; group tours; educational programs; speaking engagements; photocopying and document reproduction; census searches; photographic searches and reproduction; electronic distribution of materials; rights to publish; conservation and consultation services; artifact and specimen identification and reference; vital records searches and verification; reference, consultation and technical services; research and application processing; admissions; memberships; and subscriptions.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Facilities use. </w:t>
      </w:r>
      <w:r>
        <w:rPr>
          <w:rFonts w:ascii="Times New Roman" w:hAnsi="Times New Roman"/>
          <w:b w:val="false"/>
          <w:i w:val="false"/>
          <w:color w:val="000000"/>
          <w:sz w:val="22"/>
        </w:rPr>
        <w:t xml:space="preserve">Resource protection is the underlying principle guiding the use of society facilities. This subrule sets forth conditions of public use which apply to all society facilities. Additional restrictions or exceptions pertain to specific facilities as listed in </w:t>
      </w:r>
      <w:hyperlink r:id="rId6">
        <w:r>
          <w:rPr>
            <w:rStyle w:val="Hyperlink"/>
            <w:rFonts w:ascii="Times New Roman" w:hAnsi="Times New Roman"/>
            <w:b w:val="false"/>
            <w:i w:val="false"/>
            <w:color w:val="000000"/>
            <w:sz w:val="22"/>
          </w:rPr>
          <w:t>subrule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and groups. </w:t>
      </w:r>
      <w:r>
        <w:rPr>
          <w:rFonts w:ascii="Times New Roman" w:hAnsi="Times New Roman"/>
          <w:b w:val="false"/>
          <w:i w:val="false"/>
          <w:color w:val="000000"/>
          <w:sz w:val="22"/>
        </w:rPr>
        <w:t>All facilities of the society are open to individuals in accordance with the posted schedule. Groups may arrange for educational programs and group tours by contacting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Facility rentals. </w:t>
      </w:r>
      <w:r>
        <w:rPr>
          <w:rFonts w:ascii="Times New Roman" w:hAnsi="Times New Roman"/>
          <w:b w:val="false"/>
          <w:i w:val="false"/>
          <w:color w:val="000000"/>
          <w:sz w:val="22"/>
        </w:rPr>
        <w:t>Certain facilities of the society are available for rental. An individual or group renting a society facility shall be liable for all damage to the facility. The renter shall be billed for the cost of repairs, extraordinary cleaning, and, if necessary, the collection of costs related to any damage caused during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With the exception of those assisting the deaf and hard of hearing or visually impaired, pets shall be prohibited in society buildings. All pets on the grounds of any society facility shall be on a leash and under the direct supervision of the owner. The owner assumes all liability for pets brought onto the grounds of a society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Smoking shall be prohibited in all society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Food and drink. </w:t>
      </w:r>
      <w:r>
        <w:rPr>
          <w:rFonts w:ascii="Times New Roman" w:hAnsi="Times New Roman"/>
          <w:b w:val="false"/>
          <w:i w:val="false"/>
          <w:color w:val="000000"/>
          <w:sz w:val="22"/>
        </w:rPr>
        <w:t>Consumption of food and beverages shall be prohibited in all society facilities except in specific areas designated by the director, or designee, upon recommendation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Camping shall be prohibited at all society facilities, except for special events approved by the director, or designee, upon recommendation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Use of specific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Historical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operations are in accordance with </w:t>
      </w:r>
      <w:hyperlink r:id="rId7">
        <w:r>
          <w:rPr>
            <w:rStyle w:val="Hyperlink"/>
            <w:rFonts w:ascii="Times New Roman" w:hAnsi="Times New Roman"/>
            <w:b w:val="false"/>
            <w:i w:val="false"/>
            <w:color w:val="000000"/>
            <w:sz w:val="22"/>
          </w:rPr>
          <w:t>11—subrule 100.4(3)</w:t>
        </w:r>
      </w:hyperlink>
      <w:r>
        <w:rPr>
          <w:rFonts w:ascii="Times New Roman" w:hAnsi="Times New Roman"/>
          <w:b w:val="false"/>
          <w:i w:val="false"/>
          <w:color w:val="000000"/>
          <w:sz w:val="22"/>
        </w:rPr>
        <w:t xml:space="preserve">, Iowa Administrative Code. The society may contract with a nonprofit corporation to operate a facility rental program. Details concerning the rental program may be obtained from the facilities rental coordinator, State Historical Society of Iowa, 600 East Locust Street, Des Moines, Iowa 50319, or at </w:t>
      </w:r>
      <w:hyperlink r:id="rId8">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for use of any part of the state historical building shall be executed prior to the event. This contract shall identify, at a minimum, the group using the facility, purpose of the use, person or group legally responsible, all fees to be assessed, and exact date and time of the event. A contract shall be initiated with the facilities rental coordinator and shall be approved by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Alcoholic beverages may be served at functions in the state historical building if a fully approved alcoholic beverages application is executed prior to the event. This application shall attest that all laws of the state of Iowa and the city of Des Moines pertaining to alcoholic beverages will be obeyed and that all liability rests with the group using the facility. All alcoholic beverage service shall be provided by the licensee designated by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Programming. Group tours of the state historical building and educational programming are available. Prior scheduling may be required for tours and programming. An inquiry about arrangements of a museum tour may be directed to the State Historical Society of Iowa,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Centennial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society provides program services of the library and publications bureau at this location. Meeting rooms and other facilities are available for use by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Educational tours of the library are available only on a prearranged basis. An inquiry about arrangements for a tour may be directed to the Bureau Chief, Centennial Building, 402 Iowa Avenue,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Abbie Gardner Sharp Cabin. </w:t>
      </w:r>
      <w:r>
        <w:rPr>
          <w:rFonts w:ascii="Times New Roman" w:hAnsi="Times New Roman"/>
          <w:b w:val="false"/>
          <w:i w:val="false"/>
          <w:color w:val="000000"/>
          <w:sz w:val="22"/>
        </w:rPr>
        <w:t>This site is protected under guidelines established in the Abbie Gardner Sharp Cabin management plan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American Gothic House. </w:t>
      </w:r>
      <w:r>
        <w:rPr>
          <w:rFonts w:ascii="Times New Roman" w:hAnsi="Times New Roman"/>
          <w:b w:val="false"/>
          <w:i w:val="false"/>
          <w:color w:val="000000"/>
          <w:sz w:val="22"/>
        </w:rPr>
        <w:t>This site is protected by the society in accordance with the Secretary of the Interior’s Standards for Historic Preservation. Copies of the guidelines and applications for use of the site shall be available from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Blood Run National Historic Landmark.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site is managed by the Executive Director, Lyon County Conservation Board, RR 1, Box 44, Inwood, Iowa 51240, through a cooperative agreement with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site is protected under guidelines established in a law enforcement agreement between the society and the Lyon County Conservation Board and in accordance with the Secretary of the Interior’s Standards for Historic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Matthew Edel Blacksmith Shop.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protection. The site is protected under guidelines established in cooperative agreements between the society, the Historical Society of Marshall County and the city of Haverhill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use by groups. Picnicking is permitted at this site. A shelter house is available. Arrangements for use of the shelter house may be made by contacting the City Council, Haverhill, Iowa 50120.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Montauk, Union Sunday School, Clermont Museum.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Site protection. Montauk is a state preserve. Management complies with all provisions of Iowa Code chapter </w:t>
      </w:r>
      <w:hyperlink r:id="rId9">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575—Chapter 2</w:t>
        </w:r>
      </w:hyperlink>
      <w:r>
        <w:rPr>
          <w:rFonts w:ascii="Times New Roman" w:hAnsi="Times New Roman"/>
          <w:b w:val="false"/>
          <w:i w:val="false"/>
          <w:color w:val="000000"/>
          <w:sz w:val="22"/>
        </w:rPr>
        <w:t>, Iowa Administrative Code, and the articles of dedication for Montauk as a state preserve. A request for research use of the site shall be directed to the society. A research request shall be reviewed by the site manager and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Hunting shall not be permitted on this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tours. Tours of Montauk, Union Sunday School, and Clermont Museum shall be available on a prearranged basis. An inquiry about arrangements for a tour may be directed to the Site Manager, Montauk,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Montauk,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Plum Grove.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protection. The site is protected under guidelines established in a cooperative agreement between the society and the Johnson County Historical Society and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Picnicking is permitted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tours. Tours shall be available only on a prearranged basis. An inquiry about arrangements for a tour shall be directed to the Site Manager, Johnson County Historical Society, 310 5th Street, Coralville, Iowa 52241.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Johnson County Historical Society, 310 5th Street, Coralville, Iowa 52241.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Toolesboro Mounds National Historic Landmark.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Site protection. Toolesboro Mounds National Historic Landmark is a state preserve. Management complies with all provisions of Iowa Code chapter </w:t>
      </w:r>
      <w:hyperlink r:id="rId11">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575—Chapter 2</w:t>
        </w:r>
      </w:hyperlink>
      <w:r>
        <w:rPr>
          <w:rFonts w:ascii="Times New Roman" w:hAnsi="Times New Roman"/>
          <w:b w:val="false"/>
          <w:i w:val="false"/>
          <w:color w:val="000000"/>
          <w:sz w:val="22"/>
        </w:rPr>
        <w:t>, Iowa Administrative Code, and the articles of dedication for Toolesboro Mounds National Historic Landmark as a state preserve.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Tours are available on a prearranged basis. An inquiry may be directed to the Louisa County Conservation Board, Box 261, 601 Highway 61 North, Wapello, Iowa 52653.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Western Historic Trails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Parking. Parking is permitted in designated areas at the site. No overnight parking shall be permitted at the site without written approval by the site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Tours by groups, during normal days and hours of operation, shall be available on a prearranged basis. An inquiry about arrangements for a tour shall be directed to the Site Manager, 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fee. No admission fee shall be charged at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5730C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history.org" Type="http://schemas.openxmlformats.org/officeDocument/2006/relationships/hyperlink" Id="rId4"/>
    <Relationship TargetMode="External" Target="https://www.legis.iowa.gov/docs/ico/chapter/303.9.pdf" Type="http://schemas.openxmlformats.org/officeDocument/2006/relationships/hyperlink" Id="rId5"/>
    <Relationship TargetMode="External" Target="https://www.legis.iowa.gov/docs/iac/rule/223.1.5.pdf" Type="http://schemas.openxmlformats.org/officeDocument/2006/relationships/hyperlink" Id="rId6"/>
    <Relationship TargetMode="External" Target="https://www.legis.iowa.gov/docs/iac/rule/11.100.4.pdf" Type="http://schemas.openxmlformats.org/officeDocument/2006/relationships/hyperlink" Id="rId7"/>
    <Relationship TargetMode="External" Target="http://www.iowahistory.org" Type="http://schemas.openxmlformats.org/officeDocument/2006/relationships/hyperlink" Id="rId8"/>
    <Relationship TargetMode="External" Target="https://www.legis.iowa.gov/docs/ico/chapter/465C.pdf" Type="http://schemas.openxmlformats.org/officeDocument/2006/relationships/hyperlink" Id="rId9"/>
    <Relationship TargetMode="External" Target="https://www.legis.iowa.gov/docs/iac/chapter/575.2.pdf" Type="http://schemas.openxmlformats.org/officeDocument/2006/relationships/hyperlink" Id="rId10"/>
    <Relationship TargetMode="External" Target="https://www.legis.iowa.gov/docs/ico/chapter/465C.pdf" Type="http://schemas.openxmlformats.org/officeDocument/2006/relationships/hyperlink" Id="rId11"/>
    <Relationship TargetMode="External" Target="https://www.legis.iowa.gov/docs/iac/chapter/575.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