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223—1.4</w:t>
      </w:r>
      <w:r>
        <w:rPr>
          <w:rFonts w:ascii="Times New Roman" w:hAnsi="Times New Roman"/>
          <w:b/>
          <w:i w:val="false"/>
          <w:color w:val="000000"/>
          <w:sz w:val="22"/>
        </w:rPr>
        <w:t xml:space="preserve">(303) </w:t>
      </w:r>
      <w:r>
        <w:rPr>
          <w:rFonts w:ascii="Times New Roman" w:hAnsi="Times New Roman"/>
          <w:b/>
          <w:i w:val="false"/>
          <w:color w:val="000000"/>
          <w:sz w:val="22"/>
        </w:rPr>
        <w:t xml:space="preserve">Organization.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1.4(1)</w:t>
      </w:r>
      <w:r>
        <w:rPr>
          <w:rFonts w:ascii="Times New Roman" w:hAnsi="Times New Roman"/>
          <w:b w:val="false"/>
          <w:i w:val="false"/>
          <w:color w:val="000000"/>
          <w:sz w:val="22"/>
        </w:rPr>
        <w:t> </w:t>
      </w:r>
      <w:r>
        <w:rPr>
          <w:rFonts w:ascii="Times New Roman" w:hAnsi="Times New Roman"/>
          <w:b w:val="false"/>
          <w:i/>
          <w:color w:val="000000"/>
          <w:sz w:val="22"/>
        </w:rPr>
        <w:t xml:space="preserve">Administrator. </w:t>
      </w:r>
      <w:r>
        <w:rPr>
          <w:rFonts w:ascii="Times New Roman" w:hAnsi="Times New Roman"/>
          <w:b w:val="false"/>
          <w:i w:val="false"/>
          <w:color w:val="000000"/>
          <w:sz w:val="22"/>
        </w:rPr>
        <w:t xml:space="preserve">The administrator of the society is appointed by the director of the department of cultural affairs and serves at the director’s pleasure. In accordance with Iowa Code section </w:t>
      </w:r>
      <w:hyperlink r:id="rId4">
        <w:r>
          <w:rPr>
            <w:rStyle w:val="Hyperlink"/>
            <w:rFonts w:ascii="Times New Roman" w:hAnsi="Times New Roman"/>
            <w:b w:val="false"/>
            <w:i w:val="false"/>
            <w:color w:val="000000"/>
            <w:sz w:val="22"/>
          </w:rPr>
          <w:t>303.2</w:t>
        </w:r>
      </w:hyperlink>
      <w:r>
        <w:rPr>
          <w:rFonts w:ascii="Times New Roman" w:hAnsi="Times New Roman"/>
          <w:b w:val="false"/>
          <w:i w:val="false"/>
          <w:color w:val="000000"/>
          <w:sz w:val="22"/>
        </w:rPr>
        <w:t>(2c), the administrator serves as the state historic preservation officer. The administrator selects all society personnel and manages the operation of all society programs and facilities. The administrator operates from offices located at the State Historical Building, 600 East Locust Street, Des Moines, Iowa.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1.4(2)</w:t>
      </w:r>
      <w:r>
        <w:rPr>
          <w:rFonts w:ascii="Times New Roman" w:hAnsi="Times New Roman"/>
          <w:b w:val="false"/>
          <w:i w:val="false"/>
          <w:color w:val="000000"/>
          <w:sz w:val="22"/>
        </w:rPr>
        <w:t> </w:t>
      </w:r>
      <w:r>
        <w:rPr>
          <w:rFonts w:ascii="Times New Roman" w:hAnsi="Times New Roman"/>
          <w:b w:val="false"/>
          <w:i/>
          <w:color w:val="000000"/>
          <w:sz w:val="22"/>
        </w:rPr>
        <w:t xml:space="preserve">Bureaus. </w:t>
      </w:r>
      <w:r>
        <w:rPr>
          <w:rFonts w:ascii="Times New Roman" w:hAnsi="Times New Roman"/>
          <w:b w:val="false"/>
          <w:i w:val="false"/>
          <w:color w:val="000000"/>
          <w:sz w:val="22"/>
        </w:rPr>
        <w:t>The society may organize its activities into any number of bureaus.</w:t>
      </w:r>
    </w:p>
    <w:sectPr>
      <w:footerReference r:id="rId5"/>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303.2.pdf" Type="http://schemas.openxmlformats.org/officeDocument/2006/relationships/hyperlink" Id="rId4"/>
    <Relationship Target="footer.xml" Type="http://schemas.openxmlformats.org/officeDocument/2006/relationships/footer" Id="rId5"/>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