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223—1.3</w:t>
      </w:r>
      <w:r>
        <w:rPr>
          <w:rFonts w:ascii="Times New Roman" w:hAnsi="Times New Roman"/>
          <w:b/>
          <w:i w:val="false"/>
          <w:color w:val="000000"/>
          <w:sz w:val="22"/>
        </w:rPr>
        <w:t xml:space="preserve">(303) </w:t>
      </w:r>
      <w:r>
        <w:rPr>
          <w:rFonts w:ascii="Times New Roman" w:hAnsi="Times New Roman"/>
          <w:b/>
          <w:i w:val="false"/>
          <w:color w:val="000000"/>
          <w:sz w:val="22"/>
        </w:rPr>
        <w:t xml:space="preserve">Mission statement. </w:t>
      </w:r>
      <w:r>
        <w:rPr>
          <w:rFonts w:ascii="Times New Roman" w:hAnsi="Times New Roman"/>
          <w:b w:val="false"/>
          <w:i w:val="false"/>
          <w:color w:val="000000"/>
          <w:sz w:val="22"/>
        </w:rPr>
        <w:t>The state historical society of Iowa has a dual mission of preservation and education. As a trustee of Iowa’s historical legacy, the state historical society of Iowa identifies, records, collects, preserves, manages, and provides access to Iowa’s historical resources. As an advocate of understanding Iowa’s past, the state historical society of Iowa educates Iowans of all ages, conducts and stimulates research, disseminates information, and encourages and supports historical preservation and education efforts of others throughout the state.</w:t>
      </w:r>
    </w:p>
    <w:p>
      <w:pPr>
        <w:spacing w:before="0" w:after="0"/>
        <w:ind w:left="120"/>
        <w:jc w:val="both"/>
      </w:pPr>
      <w:r>
        <w:rPr>
          <w:rFonts w:ascii="Times New Roman" w:hAnsi="Times New Roman"/>
          <w:b w:val="false"/>
          <w:i w:val="false"/>
          <w:color w:val="000000"/>
          <w:sz w:val="22"/>
        </w:rPr>
        <w:t>The state historical society of Iowa is the state agency created and empowered by the general assembly as the official trustee of Iowa’s human heritage. The society has the responsibility and authority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record, collect, preserve, and manage the manifestations of Iowa’s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 and disseminate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 stimulate, produce, and share scholarly research on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and coordinate the teaching of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Advocate the preservation and stewardship of Iowa’s historical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Enter into agreements with nonprofit corporations to undertake activities of benefit to the society.</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