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189—25.15</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routinely available for public inspection. </w:t>
      </w:r>
      <w:r>
        <w:rPr>
          <w:rFonts w:ascii="Times New Roman" w:hAnsi="Times New Roman"/>
          <w:b w:val="false"/>
          <w:i w:val="false"/>
          <w:color w:val="000000"/>
          <w:sz w:val="22"/>
        </w:rPr>
        <w:t xml:space="preserve">This rule describes groups of records maintained by the agency other than record systems as defined in </w:t>
      </w:r>
      <w:hyperlink r:id="rId4">
        <w:r>
          <w:rPr>
            <w:rStyle w:val="Hyperlink"/>
            <w:rFonts w:ascii="Times New Roman" w:hAnsi="Times New Roman"/>
            <w:b w:val="false"/>
            <w:i w:val="false"/>
            <w:color w:val="000000"/>
            <w:sz w:val="22"/>
          </w:rPr>
          <w:t>rule 189—25.1(17A,22)</w:t>
        </w:r>
      </w:hyperlink>
      <w:r>
        <w:rPr>
          <w:rFonts w:ascii="Times New Roman" w:hAnsi="Times New Roman"/>
          <w:b w:val="false"/>
          <w:i w:val="false"/>
          <w:color w:val="000000"/>
          <w:sz w:val="22"/>
        </w:rPr>
        <w:t xml:space="preserve">. These records are routinely available to the public. However, the agency’s files of these records may contain confidential information as discussed in </w:t>
      </w:r>
      <w:hyperlink r:id="rId5">
        <w:r>
          <w:rPr>
            <w:rStyle w:val="Hyperlink"/>
            <w:rFonts w:ascii="Times New Roman" w:hAnsi="Times New Roman"/>
            <w:b w:val="false"/>
            <w:i w:val="false"/>
            <w:color w:val="000000"/>
            <w:sz w:val="22"/>
          </w:rPr>
          <w:t>rule 25.13(17A,22)</w:t>
        </w:r>
      </w:hyperlink>
      <w:r>
        <w:rPr>
          <w:rFonts w:ascii="Times New Roman" w:hAnsi="Times New Roman"/>
          <w:b w:val="false"/>
          <w:i w:val="false"/>
          <w:color w:val="000000"/>
          <w:sz w:val="22"/>
        </w:rPr>
        <w:t xml:space="preserve">. In addition, the records listed in </w:t>
      </w:r>
      <w:hyperlink r:id="rId6">
        <w:r>
          <w:rPr>
            <w:rStyle w:val="Hyperlink"/>
            <w:rFonts w:ascii="Times New Roman" w:hAnsi="Times New Roman"/>
            <w:b w:val="false"/>
            <w:i w:val="false"/>
            <w:color w:val="000000"/>
            <w:sz w:val="22"/>
          </w:rPr>
          <w:t>subrules 25.15(1)</w:t>
        </w:r>
      </w:hyperlink>
      <w:r>
        <w:rPr>
          <w:rFonts w:ascii="Times New Roman" w:hAnsi="Times New Roman"/>
          <w:b w:val="false"/>
          <w:i w:val="false"/>
          <w:color w:val="000000"/>
          <w:sz w:val="22"/>
        </w:rPr>
        <w:t xml:space="preserve"> to </w:t>
      </w:r>
      <w:hyperlink r:id="rId7">
        <w:r>
          <w:rPr>
            <w:rStyle w:val="Hyperlink"/>
            <w:rFonts w:ascii="Times New Roman" w:hAnsi="Times New Roman"/>
            <w:b w:val="false"/>
            <w:i w:val="false"/>
            <w:color w:val="000000"/>
            <w:sz w:val="22"/>
          </w:rPr>
          <w:t>25.15(4)</w:t>
        </w:r>
      </w:hyperlink>
      <w:r>
        <w:rPr>
          <w:rFonts w:ascii="Times New Roman" w:hAnsi="Times New Roman"/>
          <w:b w:val="false"/>
          <w:i w:val="false"/>
          <w:color w:val="000000"/>
          <w:sz w:val="22"/>
        </w:rPr>
        <w:t xml:space="preserve"> may contain information about individuals. All records are stored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25.15(1)</w:t>
      </w:r>
      <w:r>
        <w:rPr>
          <w:rFonts w:ascii="Times New Roman" w:hAnsi="Times New Roman"/>
          <w:b w:val="false"/>
          <w:i w:val="false"/>
          <w:color w:val="000000"/>
          <w:sz w:val="22"/>
        </w:rPr>
        <w:t> </w:t>
      </w:r>
      <w:r>
        <w:rPr>
          <w:rFonts w:ascii="Times New Roman" w:hAnsi="Times New Roman"/>
          <w:b w:val="false"/>
          <w:i/>
          <w:color w:val="000000"/>
          <w:sz w:val="22"/>
        </w:rPr>
        <w:t xml:space="preserve">Rule making. </w:t>
      </w:r>
      <w:r>
        <w:rPr>
          <w:rFonts w:ascii="Times New Roman" w:hAnsi="Times New Roman"/>
          <w:b w:val="false"/>
          <w:i w:val="false"/>
          <w:color w:val="000000"/>
          <w:sz w:val="22"/>
        </w:rPr>
        <w:t xml:space="preserve">Rule-making records may contain information about individuals making written or oral comments on proposed rules. This information is collected pursuant to Iowa Code section </w:t>
      </w:r>
      <w:hyperlink r:id="rId8">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25.15(2)</w:t>
      </w:r>
      <w:r>
        <w:rPr>
          <w:rFonts w:ascii="Times New Roman" w:hAnsi="Times New Roman"/>
          <w:b w:val="false"/>
          <w:i w:val="false"/>
          <w:color w:val="000000"/>
          <w:sz w:val="22"/>
        </w:rPr>
        <w:t> </w:t>
      </w:r>
      <w:r>
        <w:rPr>
          <w:rFonts w:ascii="Times New Roman" w:hAnsi="Times New Roman"/>
          <w:b w:val="false"/>
          <w:i/>
          <w:color w:val="000000"/>
          <w:sz w:val="22"/>
        </w:rPr>
        <w:t xml:space="preserve">Credit union review board records. </w:t>
      </w:r>
      <w:r>
        <w:rPr>
          <w:rFonts w:ascii="Times New Roman" w:hAnsi="Times New Roman"/>
          <w:b w:val="false"/>
          <w:i w:val="false"/>
          <w:color w:val="000000"/>
          <w:sz w:val="22"/>
        </w:rPr>
        <w:t xml:space="preserve">Agendas, minutes, and materials presented to the credit union review board are available from the office of the credit union division, except those records concerning closed sessions which are exempt from disclosure under Iowa Code section </w:t>
      </w:r>
      <w:hyperlink r:id="rId9">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or which are otherwise confidential by law. Credit union review board records contain information about people who participate in meetings. This information is collected pursuant to Iowa Code section </w:t>
      </w:r>
      <w:hyperlink r:id="rId10">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retrieved by individual identifier and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News releases, annual reports, project reports, agency newsletters, etc., are available from the office of the credit union division.</w:t>
      </w:r>
    </w:p>
    <w:p>
      <w:pPr>
        <w:spacing w:before="0" w:after="0"/>
        <w:ind w:left="120"/>
        <w:jc w:val="both"/>
      </w:pPr>
      <w:r>
        <w:rPr>
          <w:rFonts w:ascii="Times New Roman" w:hAnsi="Times New Roman"/>
          <w:b w:val="false"/>
          <w:i w:val="false"/>
          <w:color w:val="000000"/>
          <w:sz w:val="22"/>
        </w:rPr>
        <w:t>Agency news releases, project reports, and newsletters may contain information about individuals, including agency staff or members of agency councils or committees. This information is not retrieved by individual identifier and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25.15(4)</w:t>
      </w:r>
      <w:r>
        <w:rPr>
          <w:rFonts w:ascii="Times New Roman" w:hAnsi="Times New Roman"/>
          <w:b w:val="false"/>
          <w:i w:val="false"/>
          <w:color w:val="000000"/>
          <w:sz w:val="22"/>
        </w:rPr>
        <w:t> </w:t>
      </w:r>
      <w:r>
        <w:rPr>
          <w:rFonts w:ascii="Times New Roman" w:hAnsi="Times New Roman"/>
          <w:b w:val="false"/>
          <w:i/>
          <w:color w:val="000000"/>
          <w:sz w:val="22"/>
        </w:rPr>
        <w:t xml:space="preserve">Orders issued by the superintendent. </w:t>
      </w:r>
      <w:r>
        <w:rPr>
          <w:rFonts w:ascii="Times New Roman" w:hAnsi="Times New Roman"/>
          <w:b w:val="false"/>
          <w:i w:val="false"/>
          <w:color w:val="000000"/>
          <w:sz w:val="22"/>
        </w:rPr>
        <w:t xml:space="preserve">All findings of fact, conclusions of law, and orders issued by the superintendent of credit unions subsequent to a public hearing under the provisions of Iowa Code chapter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These records may contain information about individuals making written or oral comments at the public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25.15(5)</w:t>
      </w:r>
      <w:r>
        <w:rPr>
          <w:rFonts w:ascii="Times New Roman" w:hAnsi="Times New Roman"/>
          <w:b w:val="false"/>
          <w:i w:val="false"/>
          <w:color w:val="000000"/>
          <w:sz w:val="22"/>
        </w:rPr>
        <w:t> </w:t>
      </w:r>
      <w:r>
        <w:rPr>
          <w:rFonts w:ascii="Times New Roman" w:hAnsi="Times New Roman"/>
          <w:b w:val="false"/>
          <w:i/>
          <w:color w:val="000000"/>
          <w:sz w:val="22"/>
        </w:rPr>
        <w:t xml:space="preserve">Published materials. </w:t>
      </w:r>
      <w:r>
        <w:rPr>
          <w:rFonts w:ascii="Times New Roman" w:hAnsi="Times New Roman"/>
          <w:b w:val="false"/>
          <w:i w:val="false"/>
          <w:color w:val="000000"/>
          <w:sz w:val="22"/>
        </w:rPr>
        <w:t>The agency uses many legal and technical publications in its work. The public may inspect these publications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25.15(6)</w:t>
      </w:r>
      <w:r>
        <w:rPr>
          <w:rFonts w:ascii="Times New Roman" w:hAnsi="Times New Roman"/>
          <w:b w:val="false"/>
          <w:i w:val="false"/>
          <w:color w:val="000000"/>
          <w:sz w:val="22"/>
        </w:rPr>
        <w:t> </w:t>
      </w:r>
      <w:r>
        <w:rPr>
          <w:rFonts w:ascii="Times New Roman" w:hAnsi="Times New Roman"/>
          <w:b w:val="false"/>
          <w:i/>
          <w:color w:val="000000"/>
          <w:sz w:val="22"/>
        </w:rPr>
        <w:t xml:space="preserve">Policy manuals. </w:t>
      </w:r>
      <w:r>
        <w:rPr>
          <w:rFonts w:ascii="Times New Roman" w:hAnsi="Times New Roman"/>
          <w:b w:val="false"/>
          <w:i w:val="false"/>
          <w:color w:val="000000"/>
          <w:sz w:val="22"/>
        </w:rPr>
        <w:t>The agency’s employees’ manual, containing the policies and procedures for programs administered by the agency, is available in the office of the agency. Subscriptions to all or part of the employees’ manual are available at the cost of production and handling. Requests for subscription information should be addressed to Iowa Credit Union Division, 200 E. Grand Avenue, Suite 370, Des Moines, Iowa 50309. Policy manuals do not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25.15(7)</w:t>
      </w:r>
      <w:r>
        <w:rPr>
          <w:rFonts w:ascii="Times New Roman" w:hAnsi="Times New Roman"/>
          <w:b w:val="false"/>
          <w:i w:val="false"/>
          <w:color w:val="000000"/>
          <w:sz w:val="22"/>
        </w:rPr>
        <w:t> </w:t>
      </w:r>
      <w:r>
        <w:rPr>
          <w:rFonts w:ascii="Times New Roman" w:hAnsi="Times New Roman"/>
          <w:b w:val="false"/>
          <w:i/>
          <w:color w:val="000000"/>
          <w:sz w:val="22"/>
        </w:rPr>
        <w:t xml:space="preserve">Reports to superintendent. </w:t>
      </w:r>
      <w:r>
        <w:rPr>
          <w:rFonts w:ascii="Times New Roman" w:hAnsi="Times New Roman"/>
          <w:b w:val="false"/>
          <w:i w:val="false"/>
          <w:color w:val="000000"/>
          <w:sz w:val="22"/>
        </w:rPr>
        <w:t xml:space="preserve">Reports obtained by the superintendent of credit unions pursuant to the provisions of Iowa Code section </w:t>
      </w:r>
      <w:hyperlink r:id="rId12">
        <w:r>
          <w:rPr>
            <w:rStyle w:val="Hyperlink"/>
            <w:rFonts w:ascii="Times New Roman" w:hAnsi="Times New Roman"/>
            <w:b w:val="false"/>
            <w:i w:val="false"/>
            <w:color w:val="000000"/>
            <w:sz w:val="22"/>
          </w:rPr>
          <w:t>533.330</w:t>
        </w:r>
      </w:hyperlink>
      <w:r>
        <w:rPr>
          <w:rFonts w:ascii="Times New Roman" w:hAnsi="Times New Roman"/>
          <w:b w:val="false"/>
          <w:i w:val="false"/>
          <w:color w:val="000000"/>
          <w:sz w:val="22"/>
        </w:rPr>
        <w:t>. These reports are considered open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25.15(8)</w:t>
      </w:r>
      <w:r>
        <w:rPr>
          <w:rFonts w:ascii="Times New Roman" w:hAnsi="Times New Roman"/>
          <w:b w:val="false"/>
          <w:i w:val="false"/>
          <w:color w:val="000000"/>
          <w:sz w:val="22"/>
        </w:rPr>
        <w:t> </w:t>
      </w:r>
      <w:r>
        <w:rPr>
          <w:rFonts w:ascii="Times New Roman" w:hAnsi="Times New Roman"/>
          <w:b w:val="false"/>
          <w:i/>
          <w:color w:val="000000"/>
          <w:sz w:val="22"/>
        </w:rPr>
        <w:t xml:space="preserve">Officers, directors and shareholders. </w:t>
      </w:r>
      <w:r>
        <w:rPr>
          <w:rFonts w:ascii="Times New Roman" w:hAnsi="Times New Roman"/>
          <w:b w:val="false"/>
          <w:i w:val="false"/>
          <w:color w:val="000000"/>
          <w:sz w:val="22"/>
        </w:rPr>
        <w:t xml:space="preserve">Lists filed with the superintendent of credit unions pursuant to the provisions of Iowa Code section </w:t>
      </w:r>
      <w:hyperlink r:id="rId13">
        <w:r>
          <w:rPr>
            <w:rStyle w:val="Hyperlink"/>
            <w:rFonts w:ascii="Times New Roman" w:hAnsi="Times New Roman"/>
            <w:b w:val="false"/>
            <w:i w:val="false"/>
            <w:color w:val="000000"/>
            <w:sz w:val="22"/>
          </w:rPr>
          <w:t>533.204</w:t>
        </w:r>
      </w:hyperlink>
      <w:r>
        <w:rPr>
          <w:rFonts w:ascii="Times New Roman" w:hAnsi="Times New Roman"/>
          <w:b w:val="false"/>
          <w:i w:val="false"/>
          <w:color w:val="000000"/>
          <w:sz w:val="22"/>
        </w:rPr>
        <w:t>. These reports are considered open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25.15(9)</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All other records that are not exempted from disclosure by law.</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89.25.1.pdf" Type="http://schemas.openxmlformats.org/officeDocument/2006/relationships/hyperlink" Id="rId4"/>
    <Relationship TargetMode="External" Target="https://www.legis.iowa.gov/docs/iac/rule/189.25.13.pdf" Type="http://schemas.openxmlformats.org/officeDocument/2006/relationships/hyperlink" Id="rId5"/>
    <Relationship TargetMode="External" Target="https://www.legis.iowa.gov/docs/iac/rule/189.25.15.pdf" Type="http://schemas.openxmlformats.org/officeDocument/2006/relationships/hyperlink" Id="rId6"/>
    <Relationship TargetMode="External" Target="https://www.legis.iowa.gov/docs/iac/rule/189.25.15.pdf" Type="http://schemas.openxmlformats.org/officeDocument/2006/relationships/hyperlink" Id="rId7"/>
    <Relationship TargetMode="External" Target="https://www.legis.iowa.gov/docs/ico/chapter/17A.4.pdf" Type="http://schemas.openxmlformats.org/officeDocument/2006/relationships/hyperlink" Id="rId8"/>
    <Relationship TargetMode="External" Target="https://www.legis.iowa.gov/docs/ico/chapter/21.5.pdf" Type="http://schemas.openxmlformats.org/officeDocument/2006/relationships/hyperlink" Id="rId9"/>
    <Relationship TargetMode="External" Target="https://www.legis.iowa.gov/docs/ico/chapter/21.3.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co/chapter/533.330.pdf" Type="http://schemas.openxmlformats.org/officeDocument/2006/relationships/hyperlink" Id="rId12"/>
    <Relationship TargetMode="External" Target="https://www.legis.iowa.gov/docs/ico/chapter/533.204.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