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189—25.14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w:t>
      </w:r>
      <w:hyperlink r:id="rId4">
        <w:r>
          <w:rPr>
            <w:rStyle w:val="Hyperlink"/>
            <w:rFonts w:ascii="Times New Roman" w:hAnsi="Times New Roman"/>
            <w:b w:val="false"/>
            <w:i w:val="false"/>
            <w:color w:val="000000"/>
            <w:sz w:val="22"/>
          </w:rPr>
          <w:t>rule 189—25.1(17A,22)</w:t>
        </w:r>
      </w:hyperlink>
      <w:r>
        <w:rPr>
          <w:rFonts w:ascii="Times New Roman" w:hAnsi="Times New Roman"/>
          <w:b w:val="false"/>
          <w:i w:val="false"/>
          <w:color w:val="000000"/>
          <w:sz w:val="22"/>
        </w:rPr>
        <w:t xml:space="preserve">. The credit union division does not currently have a data processing system which matches, collates, or permits the comparison of personally identifiable information in another record system. The record systems maintained by the agency which may contain personally identifiable information are the files of current and former agency employees. This information is collected pursuant to Iowa Code section </w:t>
      </w:r>
      <w:hyperlink r:id="rId5">
        <w:r>
          <w:rPr>
            <w:rStyle w:val="Hyperlink"/>
            <w:rFonts w:ascii="Times New Roman" w:hAnsi="Times New Roman"/>
            <w:b w:val="false"/>
            <w:i w:val="false"/>
            <w:color w:val="000000"/>
            <w:sz w:val="22"/>
          </w:rPr>
          <w:t>533.106</w:t>
        </w:r>
      </w:hyperlink>
      <w:r>
        <w:rPr>
          <w:rFonts w:ascii="Times New Roman" w:hAnsi="Times New Roman"/>
          <w:b w:val="false"/>
          <w:i w:val="false"/>
          <w:color w:val="000000"/>
          <w:sz w:val="22"/>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9.25.1.pdf" Type="http://schemas.openxmlformats.org/officeDocument/2006/relationships/hyperlink" Id="rId4"/>
    <Relationship TargetMode="External" Target="https://www.legis.iowa.gov/docs/ico/chapter/533.1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