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187—7.15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routinely available for public inspection. </w:t>
      </w:r>
      <w:r>
        <w:rPr>
          <w:rFonts w:ascii="Times New Roman" w:hAnsi="Times New Roman"/>
          <w:b w:val="false"/>
          <w:i w:val="false"/>
          <w:color w:val="000000"/>
          <w:sz w:val="22"/>
        </w:rPr>
        <w:t xml:space="preserve">This rule describes groups of records maintained by the agency other than record systems as defined in </w:t>
      </w:r>
      <w:hyperlink r:id="rId4">
        <w:r>
          <w:rPr>
            <w:rStyle w:val="Hyperlink"/>
            <w:rFonts w:ascii="Times New Roman" w:hAnsi="Times New Roman"/>
            <w:b w:val="false"/>
            <w:i w:val="false"/>
            <w:color w:val="000000"/>
            <w:sz w:val="22"/>
          </w:rPr>
          <w:t>rule 187—7.1(17A,22)</w:t>
        </w:r>
      </w:hyperlink>
      <w:r>
        <w:rPr>
          <w:rFonts w:ascii="Times New Roman" w:hAnsi="Times New Roman"/>
          <w:b w:val="false"/>
          <w:i w:val="false"/>
          <w:color w:val="000000"/>
          <w:sz w:val="22"/>
        </w:rPr>
        <w:t xml:space="preserve">. These records are routinely available to the public. However, the agency’s files of these records may contain confidential information. In addition, the records listed in </w:t>
      </w:r>
      <w:hyperlink r:id="rId5">
        <w:r>
          <w:rPr>
            <w:rStyle w:val="Hyperlink"/>
            <w:rFonts w:ascii="Times New Roman" w:hAnsi="Times New Roman"/>
            <w:b w:val="false"/>
            <w:i w:val="false"/>
            <w:color w:val="000000"/>
            <w:sz w:val="22"/>
          </w:rPr>
          <w:t>subrules 7.15(1)</w:t>
        </w:r>
      </w:hyperlink>
      <w:r>
        <w:rPr>
          <w:rFonts w:ascii="Times New Roman" w:hAnsi="Times New Roman"/>
          <w:b w:val="false"/>
          <w:i w:val="false"/>
          <w:color w:val="000000"/>
          <w:sz w:val="22"/>
        </w:rPr>
        <w:t xml:space="preserve"> to </w:t>
      </w:r>
      <w:hyperlink r:id="rId6">
        <w:r>
          <w:rPr>
            <w:rStyle w:val="Hyperlink"/>
            <w:rFonts w:ascii="Times New Roman" w:hAnsi="Times New Roman"/>
            <w:b w:val="false"/>
            <w:i w:val="false"/>
            <w:color w:val="000000"/>
            <w:sz w:val="22"/>
          </w:rPr>
          <w:t>7.15(4)</w:t>
        </w:r>
      </w:hyperlink>
      <w:r>
        <w:rPr>
          <w:rFonts w:ascii="Times New Roman" w:hAnsi="Times New Roman"/>
          <w:b w:val="false"/>
          <w:i w:val="false"/>
          <w:color w:val="000000"/>
          <w:sz w:val="22"/>
        </w:rPr>
        <w:t xml:space="preserve">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7">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color w:val="000000"/>
          <w:sz w:val="22"/>
        </w:rPr>
        <w:t xml:space="preserve">Banking council records. </w:t>
      </w:r>
      <w:r>
        <w:rPr>
          <w:rFonts w:ascii="Times New Roman" w:hAnsi="Times New Roman"/>
          <w:b w:val="false"/>
          <w:i w:val="false"/>
          <w:color w:val="000000"/>
          <w:sz w:val="22"/>
        </w:rPr>
        <w:t xml:space="preserve">Agendas, minutes and materials presented to the Iowa division of banking council are available from the office of the Iowa division of banking, except those records concerning closed sessions which are exempt from disclosure under Iowa Code section </w:t>
      </w:r>
      <w:hyperlink r:id="rId8">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Banking council records contain information about people who participate in meetings. This information is collected pursuant to Iowa Code section </w:t>
      </w:r>
      <w:hyperlink r:id="rId9">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retrieved by individual identifier and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agency newsletters, etc., are available from the office of the Iowa division of banking.</w:t>
      </w:r>
    </w:p>
    <w:p>
      <w:pPr>
        <w:spacing w:before="0" w:after="0"/>
        <w:ind w:left="120"/>
        <w:jc w:val="both"/>
      </w:pPr>
      <w:r>
        <w:rPr>
          <w:rFonts w:ascii="Times New Roman" w:hAnsi="Times New Roman"/>
          <w:b w:val="false"/>
          <w:i w:val="false"/>
          <w:color w:val="000000"/>
          <w:sz w:val="22"/>
        </w:rPr>
        <w:t>Agency news releases, project reports, and newsletters may contain information about individuals, including agency staff or members of agency councils or committees. This information is not retrieved by individual identifier and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color w:val="000000"/>
          <w:sz w:val="22"/>
        </w:rPr>
        <w:t xml:space="preserve">Orders issued by the superintendent. </w:t>
      </w:r>
      <w:r>
        <w:rPr>
          <w:rFonts w:ascii="Times New Roman" w:hAnsi="Times New Roman"/>
          <w:b w:val="false"/>
          <w:i w:val="false"/>
          <w:color w:val="000000"/>
          <w:sz w:val="22"/>
        </w:rPr>
        <w:t xml:space="preserve">All findings of fact, conclusions of law, and orders issued by the superintendent subsequent to a public hearing under the provisions of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except as otherwise provided by law. (See Iowa Code section </w:t>
      </w:r>
      <w:hyperlink r:id="rId1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These records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7.15(5)</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7.15(6)</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agency’s employees’ manual, containing information concerning policies and procedures for programs administered by the agency, is available in the office of the agency.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7.15(7)</w:t>
      </w:r>
      <w:r>
        <w:rPr>
          <w:rFonts w:ascii="Times New Roman" w:hAnsi="Times New Roman"/>
          <w:b w:val="false"/>
          <w:i w:val="false"/>
          <w:color w:val="000000"/>
          <w:sz w:val="22"/>
        </w:rPr>
        <w:t> </w:t>
      </w:r>
      <w:r>
        <w:rPr>
          <w:rFonts w:ascii="Times New Roman" w:hAnsi="Times New Roman"/>
          <w:b w:val="false"/>
          <w:i/>
          <w:color w:val="000000"/>
          <w:sz w:val="22"/>
        </w:rPr>
        <w:t xml:space="preserve">Reports to superintendent. </w:t>
      </w:r>
      <w:r>
        <w:rPr>
          <w:rFonts w:ascii="Times New Roman" w:hAnsi="Times New Roman"/>
          <w:b w:val="false"/>
          <w:i w:val="false"/>
          <w:color w:val="000000"/>
          <w:sz w:val="22"/>
        </w:rPr>
        <w:t xml:space="preserve">Reports obtained by the superintendent pursuant to the provisions of Iowa Code section </w:t>
      </w:r>
      <w:hyperlink r:id="rId12">
        <w:r>
          <w:rPr>
            <w:rStyle w:val="Hyperlink"/>
            <w:rFonts w:ascii="Times New Roman" w:hAnsi="Times New Roman"/>
            <w:b w:val="false"/>
            <w:i w:val="false"/>
            <w:color w:val="000000"/>
            <w:sz w:val="22"/>
          </w:rPr>
          <w:t>524.220</w:t>
        </w:r>
      </w:hyperlink>
      <w:r>
        <w:rPr>
          <w:rFonts w:ascii="Times New Roman" w:hAnsi="Times New Roman"/>
          <w:b w:val="false"/>
          <w:i w:val="false"/>
          <w:color w:val="000000"/>
          <w:sz w:val="22"/>
        </w:rPr>
        <w:t>. These reports are considered open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7.15(8)</w:t>
      </w:r>
      <w:r>
        <w:rPr>
          <w:rFonts w:ascii="Times New Roman" w:hAnsi="Times New Roman"/>
          <w:b w:val="false"/>
          <w:i w:val="false"/>
          <w:color w:val="000000"/>
          <w:sz w:val="22"/>
        </w:rPr>
        <w:t> </w:t>
      </w:r>
      <w:r>
        <w:rPr>
          <w:rFonts w:ascii="Times New Roman" w:hAnsi="Times New Roman"/>
          <w:b w:val="false"/>
          <w:i/>
          <w:color w:val="000000"/>
          <w:sz w:val="22"/>
        </w:rPr>
        <w:t xml:space="preserve">Officers and directors. </w:t>
      </w:r>
      <w:r>
        <w:rPr>
          <w:rFonts w:ascii="Times New Roman" w:hAnsi="Times New Roman"/>
          <w:b w:val="false"/>
          <w:i w:val="false"/>
          <w:color w:val="000000"/>
          <w:sz w:val="22"/>
        </w:rPr>
        <w:t xml:space="preserve">Lists of officers and directors filed with the superintendent pursuant to the provisions of Iowa Code section </w:t>
      </w:r>
      <w:hyperlink r:id="rId13">
        <w:r>
          <w:rPr>
            <w:rStyle w:val="Hyperlink"/>
            <w:rFonts w:ascii="Times New Roman" w:hAnsi="Times New Roman"/>
            <w:b w:val="false"/>
            <w:i w:val="false"/>
            <w:color w:val="000000"/>
            <w:sz w:val="22"/>
          </w:rPr>
          <w:t>524.541</w:t>
        </w:r>
      </w:hyperlink>
      <w:r>
        <w:rPr>
          <w:rFonts w:ascii="Times New Roman" w:hAnsi="Times New Roman"/>
          <w:b w:val="false"/>
          <w:i w:val="false"/>
          <w:color w:val="000000"/>
          <w:sz w:val="22"/>
        </w:rPr>
        <w:t>. These reports are considered open records, with the exception that lists of shareholders are confidential and not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7.15(9)</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All other records that are not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4056C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87.7.1.pdf" Type="http://schemas.openxmlformats.org/officeDocument/2006/relationships/hyperlink" Id="rId4"/>
    <Relationship TargetMode="External" Target="https://www.legis.iowa.gov/docs/iac/rule/187.7.15.pdf" Type="http://schemas.openxmlformats.org/officeDocument/2006/relationships/hyperlink" Id="rId5"/>
    <Relationship TargetMode="External" Target="https://www.legis.iowa.gov/docs/iac/rule/187.7.15.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co/chapter/21.5.pdf" Type="http://schemas.openxmlformats.org/officeDocument/2006/relationships/hyperlink" Id="rId8"/>
    <Relationship TargetMode="External" Target="https://www.legis.iowa.gov/docs/ico/chapter/21.3.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7A.3.pdf" Type="http://schemas.openxmlformats.org/officeDocument/2006/relationships/hyperlink" Id="rId11"/>
    <Relationship TargetMode="External" Target="https://www.legis.iowa.gov/docs/ico/chapter/524.220.pdf" Type="http://schemas.openxmlformats.org/officeDocument/2006/relationships/hyperlink" Id="rId12"/>
    <Relationship TargetMode="External" Target="https://www.legis.iowa.gov/docs/ico/chapter/524.541.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