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187—7.14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4">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The division of banking does not maintain groups of records to be retrieved by individual identifiers. Division records concerning regulated entities may contain financial and other personal information about individuals who are officers, shareholders, employees, or customers of regulated entities or do business with them. The division of banking does not currently have a data processing system which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an individual’s employment history, such as hiring and recruitment correspondence, salary, payroll and benefit information, record of personnel actions, military status, affirmative action statistics, education and training completed, professional certification achievements, professional organizational involvement, performance evaluation reports, and other information concerning the employer-employee relationship. This information is collected pursuant to Iowa Code section </w:t>
      </w:r>
      <w:hyperlink r:id="rId5">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is confidential under Iowa Code sections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information is maintained on paper; and certain parts are also contained on the agency’s data processing system, as well as the state’s mainframe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 xml:space="preserve">Records showing individual earnings, hours worked, leave usage, class, position, salary range, deductions, net pay with agency summaries, and other related information. These records contain personally identifiable information collected under the authority of Iowa Code section </w:t>
      </w:r>
      <w:hyperlink r:id="rId8">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may be confidential under Iowa Code section </w:t>
      </w:r>
      <w:hyperlink r:id="rId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information is maintained on paper, with certain records maintained on the state’s payroll automated data processing system.</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7.7.1.pdf" Type="http://schemas.openxmlformats.org/officeDocument/2006/relationships/hyperlink" Id="rId4"/>
    <Relationship TargetMode="External" Target="https://www.legis.iowa.gov/docs/ico/chapter/524.208.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524.208.pdf" Type="http://schemas.openxmlformats.org/officeDocument/2006/relationships/hyperlink" Id="rId8"/>
    <Relationship TargetMode="External" Target="https://www.legis.iowa.gov/docs/ico/chapter/22.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