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11—4.1</w:t>
      </w:r>
      <w:r>
        <w:rPr>
          <w:rFonts w:ascii="Times New Roman" w:hAnsi="Times New Roman"/>
          <w:b/>
          <w:i w:val="false"/>
          <w:color w:val="000000"/>
          <w:sz w:val="22"/>
        </w:rPr>
        <w:t xml:space="preserve">(8A,22)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include records or information contained in records that the department is prohibited by law from making available for examination by members of the public, and records or information contained in records that are specified as confidential by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director, or another person lawfully delegated authority by the department to act for the department in implementing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“individual identifiers”</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6">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possession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department from which a record may be retrieved by a personal identifier such as the name of an individual, number, symbol, or other unique retriever assigned to an individual.</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