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11—117.3</w:t>
      </w:r>
      <w:r>
        <w:rPr>
          <w:rFonts w:ascii="Times New Roman" w:hAnsi="Times New Roman"/>
          <w:b/>
          <w:i w:val="false"/>
          <w:color w:val="000000"/>
          <w:sz w:val="22"/>
        </w:rPr>
        <w:t xml:space="preserve">(8A) </w:t>
      </w:r>
      <w:r>
        <w:rPr>
          <w:rFonts w:ascii="Times New Roman" w:hAnsi="Times New Roman"/>
          <w:b/>
          <w:i w:val="false"/>
          <w:color w:val="000000"/>
          <w:sz w:val="22"/>
        </w:rPr>
        <w:t xml:space="preserve">Competitive procurement. </w:t>
      </w:r>
      <w:r>
        <w:rPr>
          <w:rFonts w:ascii="Times New Roman" w:hAnsi="Times New Roman"/>
          <w:b w:val="false"/>
          <w:i w:val="false"/>
          <w:color w:val="000000"/>
          <w:sz w:val="22"/>
        </w:rPr>
        <w:t>It is the policy of the state to obtain goods and services from the private sector for public purposes to achieve value for the taxpayer through a competitive selection process that is fair, open, and objective. Where feasible, common use items will be purchased cooperatively with state agencies having independent procurement authority to leverage economies of scale, add convenience, standardize common items, and increase efficiencies.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117.3(1)</w:t>
      </w:r>
      <w:r>
        <w:rPr>
          <w:rFonts w:ascii="Times New Roman" w:hAnsi="Times New Roman"/>
          <w:b w:val="false"/>
          <w:i w:val="false"/>
          <w:color w:val="000000"/>
          <w:sz w:val="22"/>
        </w:rPr>
        <w:t> </w:t>
      </w:r>
      <w:r>
        <w:rPr>
          <w:rFonts w:ascii="Times New Roman" w:hAnsi="Times New Roman"/>
          <w:b w:val="false"/>
          <w:i/>
          <w:color w:val="000000"/>
          <w:sz w:val="22"/>
        </w:rPr>
        <w:t xml:space="preserve">Informal competition. </w:t>
      </w:r>
      <w:r>
        <w:rPr>
          <w:rFonts w:ascii="Times New Roman" w:hAnsi="Times New Roman"/>
          <w:b w:val="false"/>
          <w:i w:val="false"/>
          <w:color w:val="000000"/>
          <w:sz w:val="22"/>
        </w:rPr>
        <w:t>The department may use informal competition or formal competition for the purchase of any good or service or group of goods or services of general use costing less than $50,000.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117.3(2)</w:t>
      </w:r>
      <w:r>
        <w:rPr>
          <w:rFonts w:ascii="Times New Roman" w:hAnsi="Times New Roman"/>
          <w:b w:val="false"/>
          <w:i w:val="false"/>
          <w:color w:val="000000"/>
          <w:sz w:val="22"/>
        </w:rPr>
        <w:t> </w:t>
      </w:r>
      <w:r>
        <w:rPr>
          <w:rFonts w:ascii="Times New Roman" w:hAnsi="Times New Roman"/>
          <w:b w:val="false"/>
          <w:i/>
          <w:color w:val="000000"/>
          <w:sz w:val="22"/>
        </w:rPr>
        <w:t xml:space="preserve">Formal competition. </w:t>
      </w:r>
      <w:r>
        <w:rPr>
          <w:rFonts w:ascii="Times New Roman" w:hAnsi="Times New Roman"/>
          <w:b w:val="false"/>
          <w:i w:val="false"/>
          <w:color w:val="000000"/>
          <w:sz w:val="22"/>
        </w:rPr>
        <w:t>The department shall use formal competition for the procurement of any good or service or group of goods or services of general use costing $50,000 or more.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117.3(3)</w:t>
      </w:r>
      <w:r>
        <w:rPr>
          <w:rFonts w:ascii="Times New Roman" w:hAnsi="Times New Roman"/>
          <w:b w:val="false"/>
          <w:i w:val="false"/>
          <w:color w:val="000000"/>
          <w:sz w:val="22"/>
        </w:rPr>
        <w:t> </w:t>
      </w:r>
      <w:r>
        <w:rPr>
          <w:rFonts w:ascii="Times New Roman" w:hAnsi="Times New Roman"/>
          <w:b w:val="false"/>
          <w:i/>
          <w:color w:val="000000"/>
          <w:sz w:val="22"/>
        </w:rPr>
        <w:t xml:space="preserve">Construction procurement. </w:t>
      </w:r>
      <w:r>
        <w:rPr>
          <w:rFonts w:ascii="Times New Roman" w:hAnsi="Times New Roman"/>
          <w:b w:val="false"/>
          <w:i w:val="false"/>
          <w:color w:val="000000"/>
          <w:sz w:val="22"/>
        </w:rPr>
        <w:t xml:space="preserve">Formal competition shall be used for selection of a vendor for construction, erection, demolition, alteration, or repair of a public improvement when the cost of the work exceeds $100,000 or the adjusted competitive threshold established in Iowa Code section </w:t>
      </w:r>
      <w:hyperlink r:id="rId4">
        <w:r>
          <w:rPr>
            <w:rStyle w:val="Hyperlink"/>
            <w:rFonts w:ascii="Times New Roman" w:hAnsi="Times New Roman"/>
            <w:b w:val="false"/>
            <w:i w:val="false"/>
            <w:color w:val="000000"/>
            <w:sz w:val="22"/>
          </w:rPr>
          <w:t>314.1B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117.3(4)</w:t>
      </w:r>
      <w:r>
        <w:rPr>
          <w:rFonts w:ascii="Times New Roman" w:hAnsi="Times New Roman"/>
          <w:b w:val="false"/>
          <w:i w:val="false"/>
          <w:color w:val="000000"/>
          <w:sz w:val="22"/>
        </w:rPr>
        <w:t> </w:t>
      </w:r>
      <w:r>
        <w:rPr>
          <w:rFonts w:ascii="Times New Roman" w:hAnsi="Times New Roman"/>
          <w:b w:val="false"/>
          <w:i/>
          <w:color w:val="000000"/>
          <w:sz w:val="22"/>
        </w:rPr>
        <w:t xml:space="preserve">Purchasing services. </w:t>
      </w:r>
      <w:r>
        <w:rPr>
          <w:rFonts w:ascii="Times New Roman" w:hAnsi="Times New Roman"/>
          <w:b w:val="false"/>
          <w:i w:val="false"/>
          <w:color w:val="000000"/>
          <w:sz w:val="22"/>
        </w:rPr>
        <w:t xml:space="preserve">Thresholds for the use of formal or informal competition for the procurement of services are governed by rule </w:t>
      </w:r>
      <w:hyperlink r:id="rId5">
        <w:r>
          <w:rPr>
            <w:rStyle w:val="Hyperlink"/>
            <w:rFonts w:ascii="Times New Roman" w:hAnsi="Times New Roman"/>
            <w:b w:val="false"/>
            <w:i w:val="false"/>
            <w:color w:val="000000"/>
            <w:sz w:val="22"/>
          </w:rPr>
          <w:t>11—118.5</w:t>
        </w:r>
      </w:hyperlink>
      <w:r>
        <w:rPr>
          <w:rFonts w:ascii="Times New Roman" w:hAnsi="Times New Roman"/>
          <w:b w:val="false"/>
          <w:i w:val="false"/>
          <w:color w:val="000000"/>
          <w:sz w:val="22"/>
        </w:rPr>
        <w:t>(8A).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0952C</w:t>
      </w:r>
      <w:r>
        <w:rPr>
          <w:rFonts w:ascii="Times New Roman" w:hAnsi="Times New Roman"/>
          <w:b w:val="false"/>
          <w:i w:val="false"/>
          <w:color w:val="000000"/>
          <w:sz w:val="16"/>
        </w:rPr>
        <w:t>, IAB 8/21/13, effective 9/25/13</w:t>
      </w:r>
      <w:r>
        <w:rPr>
          <w:rFonts w:ascii="Times New Roman" w:hAnsi="Times New Roman"/>
          <w:b w:val="false"/>
          <w:i w:val="false"/>
          <w:color w:val="000000"/>
          <w:sz w:val="16"/>
        </w:rPr>
        <w:t xml:space="preserve">; </w:t>
      </w:r>
      <w:r>
        <w:rPr>
          <w:rFonts w:ascii="Times New Roman" w:hAnsi="Times New Roman"/>
          <w:b/>
          <w:i w:val="false"/>
          <w:color w:val="000000"/>
          <w:sz w:val="16"/>
        </w:rPr>
        <w:t>ARC 1485C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14.1B.pdf" Type="http://schemas.openxmlformats.org/officeDocument/2006/relationships/hyperlink" Id="rId4"/>
    <Relationship TargetMode="External" Target="https://www.legis.iowa.gov/docs/iac/rule/11.118.5.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