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11—117.21</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chapter, a “waiver” means an action by the director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waivers. </w:t>
      </w:r>
      <w:r>
        <w:rPr>
          <w:rFonts w:ascii="Times New Roman" w:hAnsi="Times New Roman"/>
          <w:b w:val="false"/>
          <w:i w:val="false"/>
          <w:color w:val="000000"/>
          <w:sz w:val="22"/>
        </w:rPr>
        <w:t xml:space="preserve">A state agency seeking a waiver shall submit a written request for a waiver to the director. The written request shall identify the rule for which the state agency seeks a waiver or the contract or class of contracts for which the state agency seeks a waiver and the reasons that the state agency believes justify the granting of the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request for a waiver submitted by a state agency, the director may issue an order waiving in whole or in part the requirements of a rule in this chapter if the director finds that the state agency has established good cause for the waiving of the requirements of the rule. “Good cause” includes, but is not limited to, the following: (1) the desired good or service is available from one source only, (2) the time frame required is such that an expedient purchase is in the best interest of the agency, or (3)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