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11—117.15</w:t>
      </w:r>
      <w:r>
        <w:rPr>
          <w:rFonts w:ascii="Times New Roman" w:hAnsi="Times New Roman"/>
          <w:b/>
          <w:i w:val="false"/>
          <w:color w:val="000000"/>
          <w:sz w:val="22"/>
        </w:rPr>
        <w:t xml:space="preserve">(8A) </w:t>
      </w:r>
      <w:r>
        <w:rPr>
          <w:rFonts w:ascii="Times New Roman" w:hAnsi="Times New Roman"/>
          <w:b/>
          <w:i w:val="false"/>
          <w:color w:val="000000"/>
          <w:sz w:val="22"/>
        </w:rPr>
        <w:t xml:space="preserve">Thresholds for delegating procurement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117.15(1)</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purchasing—basic level. </w:t>
      </w:r>
      <w:r>
        <w:rPr>
          <w:rFonts w:ascii="Times New Roman" w:hAnsi="Times New Roman"/>
          <w:b w:val="false"/>
          <w:i w:val="false"/>
          <w:color w:val="000000"/>
          <w:sz w:val="22"/>
        </w:rPr>
        <w:t xml:space="preserve">An agency may procure non-master agreement goods costing not greater than $15,000 without competition.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117.15(2)</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purchasing—advanced level. </w:t>
      </w:r>
      <w:r>
        <w:rPr>
          <w:rFonts w:ascii="Times New Roman" w:hAnsi="Times New Roman"/>
          <w:b w:val="false"/>
          <w:i w:val="false"/>
          <w:color w:val="000000"/>
          <w:sz w:val="22"/>
        </w:rPr>
        <w:t>An agency may procure non-master agreement goods up to $50,000 per transaction in a competitive manner using either informal or formal competition provided the agency personnel engaged in the purchase of goods have completed enhanced procurement training established by the director or designee. If an informal process is chosen, the agency shall follow the process described in the definition of “informal competition” in rule 11—117.2(8A). The agency shall document the quotes, or circumstances resulting in fewer than three quotes, in an electronic file attached to the order or in another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117.15(3)</w:t>
      </w:r>
      <w:r>
        <w:rPr>
          <w:rFonts w:ascii="Times New Roman" w:hAnsi="Times New Roman"/>
          <w:b w:val="false"/>
          <w:i w:val="false"/>
          <w:color w:val="000000"/>
          <w:sz w:val="22"/>
        </w:rPr>
        <w:t> </w:t>
      </w:r>
      <w:r>
        <w:rPr>
          <w:rFonts w:ascii="Times New Roman" w:hAnsi="Times New Roman"/>
          <w:b w:val="false"/>
          <w:i/>
          <w:color w:val="000000"/>
          <w:sz w:val="22"/>
        </w:rPr>
        <w:t xml:space="preserve">Preference to targeted small businesses. </w:t>
      </w:r>
      <w:r>
        <w:rPr>
          <w:rFonts w:ascii="Times New Roman" w:hAnsi="Times New Roman"/>
          <w:b w:val="false"/>
          <w:i w:val="false"/>
          <w:color w:val="000000"/>
          <w:sz w:val="22"/>
        </w:rPr>
        <w:t xml:space="preserve">Agencies shall search the TSB directory on the Iowa economic development authority’s website and may purchase a good or service directly from the TSB source if the cost is equal to or less than the spending limit set forth in </w:t>
      </w:r>
      <w:hyperlink r:id="rId4">
        <w:r>
          <w:rPr>
            <w:rStyle w:val="Hyperlink"/>
            <w:rFonts w:ascii="Times New Roman" w:hAnsi="Times New Roman"/>
            <w:b w:val="false"/>
            <w:i w:val="false"/>
            <w:color w:val="000000"/>
            <w:sz w:val="22"/>
          </w:rPr>
          <w:t>paragraph 117.5(2)</w:t>
        </w:r>
      </w:hyperlink>
      <w:r>
        <w:rPr>
          <w:rFonts w:ascii="Times New Roman" w:hAnsi="Times New Roman"/>
          <w:b w:val="false"/>
          <w:i/>
          <w:color w:val="000000"/>
          <w:sz w:val="22"/>
        </w:rPr>
        <w:t>“a.”</w:t>
      </w:r>
      <w:r>
        <w:rPr>
          <w:rFonts w:ascii="Times New Roman" w:hAnsi="Times New Roman"/>
          <w:b w:val="false"/>
          <w:i w:val="false"/>
          <w:color w:val="000000"/>
          <w:sz w:val="22"/>
        </w:rPr>
        <w:t xml:space="preserve"> Agencies shall comply with the TSB notification requirements in subrule </w:t>
      </w:r>
      <w:hyperlink r:id="rId5">
        <w:r>
          <w:rPr>
            <w:rStyle w:val="Hyperlink"/>
            <w:rFonts w:ascii="Times New Roman" w:hAnsi="Times New Roman"/>
            <w:b w:val="false"/>
            <w:i w:val="false"/>
            <w:color w:val="000000"/>
            <w:sz w:val="22"/>
          </w:rPr>
          <w:t>117.8(2)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117.15(4)</w:t>
      </w:r>
      <w:r>
        <w:rPr>
          <w:rFonts w:ascii="Times New Roman" w:hAnsi="Times New Roman"/>
          <w:b w:val="false"/>
          <w:i w:val="false"/>
          <w:color w:val="000000"/>
          <w:sz w:val="22"/>
        </w:rPr>
        <w:t> </w:t>
      </w:r>
      <w:r>
        <w:rPr>
          <w:rFonts w:ascii="Times New Roman" w:hAnsi="Times New Roman"/>
          <w:b w:val="false"/>
          <w:i/>
          <w:color w:val="000000"/>
          <w:sz w:val="22"/>
        </w:rPr>
        <w:t xml:space="preserve">Misuse of agency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Purchasing authority delegated to agencies shall not be used to avoid the use of master agreements. The agency shall not break purchasing into smaller increments for the purpose of avoiding threshold requirements in </w:t>
      </w:r>
      <w:hyperlink r:id="rId6">
        <w:r>
          <w:rPr>
            <w:rStyle w:val="Hyperlink"/>
            <w:rFonts w:ascii="Times New Roman" w:hAnsi="Times New Roman"/>
            <w:b w:val="false"/>
            <w:i w:val="false"/>
            <w:color w:val="000000"/>
            <w:sz w:val="22"/>
          </w:rPr>
          <w:t>subrule 117.5(2)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117.15(1)</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117.15(2)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remedy, the department may recover administrative fees appropriate to the improper execution of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intended to prohibit agencies from aggressively seeking competitive prices. Agencies may purchase outside of master agreements under subrule </w:t>
      </w:r>
      <w:hyperlink r:id="rId9">
        <w:r>
          <w:rPr>
            <w:rStyle w:val="Hyperlink"/>
            <w:rFonts w:ascii="Times New Roman" w:hAnsi="Times New Roman"/>
            <w:b w:val="false"/>
            <w:i w:val="false"/>
            <w:color w:val="000000"/>
            <w:sz w:val="22"/>
          </w:rPr>
          <w:t>117.4(1)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rescind delegated authority of an agency that misuses its authority or uses the authority to procure goods or services already available on a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prohibit agencies from dividing procurements into contract award units of economically feasible production runs to facilitate offers or bids from targeted small businesses consistent with </w:t>
      </w:r>
      <w:hyperlink r:id="rId10">
        <w:r>
          <w:rPr>
            <w:rStyle w:val="Hyperlink"/>
            <w:rFonts w:ascii="Times New Roman" w:hAnsi="Times New Roman"/>
            <w:b w:val="false"/>
            <w:i w:val="false"/>
            <w:color w:val="000000"/>
            <w:sz w:val="22"/>
          </w:rPr>
          <w:t>subrule 117.5(2)</w:t>
        </w:r>
      </w:hyperlink>
      <w:r>
        <w:rPr>
          <w:rFonts w:ascii="Times New Roman" w:hAnsi="Times New Roman"/>
          <w:b w:val="false"/>
          <w:i w:val="false"/>
          <w:color w:val="000000"/>
          <w:sz w:val="22"/>
        </w:rPr>
        <w:t xml:space="preserve"> and Iowa Code section </w:t>
      </w:r>
      <w:hyperlink r:id="rId11">
        <w:r>
          <w:rPr>
            <w:rStyle w:val="Hyperlink"/>
            <w:rFonts w:ascii="Times New Roman" w:hAnsi="Times New Roman"/>
            <w:b w:val="false"/>
            <w:i w:val="false"/>
            <w:color w:val="000000"/>
            <w:sz w:val="22"/>
          </w:rPr>
          <w:t>73.17(1)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4845C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6263C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1.117.5.pdf" Type="http://schemas.openxmlformats.org/officeDocument/2006/relationships/hyperlink" Id="rId4"/>
    <Relationship TargetMode="External" Target="https://www.legis.iowa.gov/docs/iac/rule/11.117.8.pdf" Type="http://schemas.openxmlformats.org/officeDocument/2006/relationships/hyperlink" Id="rId5"/>
    <Relationship TargetMode="External" Target="https://www.legis.iowa.gov/docs/iac/rule/11.117.5.pdf" Type="http://schemas.openxmlformats.org/officeDocument/2006/relationships/hyperlink" Id="rId6"/>
    <Relationship TargetMode="External" Target="https://www.legis.iowa.gov/docs/iac/rule/11.117.15.pdf" Type="http://schemas.openxmlformats.org/officeDocument/2006/relationships/hyperlink" Id="rId7"/>
    <Relationship TargetMode="External" Target="https://www.legis.iowa.gov/docs/iac/rule/11.117.15.pdf" Type="http://schemas.openxmlformats.org/officeDocument/2006/relationships/hyperlink" Id="rId8"/>
    <Relationship TargetMode="External" Target="https://www.legis.iowa.gov/docs/iac/rule/11.117.4.pdf" Type="http://schemas.openxmlformats.org/officeDocument/2006/relationships/hyperlink" Id="rId9"/>
    <Relationship TargetMode="External" Target="https://www.legis.iowa.gov/docs/iac/rule/11.117.5.pdf" Type="http://schemas.openxmlformats.org/officeDocument/2006/relationships/hyperlink" Id="rId10"/>
    <Relationship TargetMode="External" Target="https://www.legis.iowa.gov/docs/ico/chapter/73.1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