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11—117.14</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purchasing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117.14(1)</w:t>
      </w:r>
      <w:r>
        <w:rPr>
          <w:rFonts w:ascii="Times New Roman" w:hAnsi="Times New Roman"/>
          <w:b w:val="false"/>
          <w:i w:val="false"/>
          <w:color w:val="000000"/>
          <w:sz w:val="22"/>
        </w:rPr>
        <w:t> </w:t>
      </w:r>
      <w:r>
        <w:rPr>
          <w:rFonts w:ascii="Times New Roman" w:hAnsi="Times New Roman"/>
          <w:b w:val="false"/>
          <w:i/>
          <w:color w:val="000000"/>
          <w:sz w:val="22"/>
        </w:rPr>
        <w:t xml:space="preserve">Purchase of goods. </w:t>
      </w:r>
      <w:r>
        <w:rPr>
          <w:rFonts w:ascii="Times New Roman" w:hAnsi="Times New Roman"/>
          <w:b w:val="false"/>
          <w:i w:val="false"/>
          <w:color w:val="000000"/>
          <w:sz w:val="22"/>
        </w:rPr>
        <w:t xml:space="preserve">An agency may acquire goods not otherwise available from a master agreement in accordance with the procurement threshold guidelines in </w:t>
      </w:r>
      <w:hyperlink r:id="rId4">
        <w:r>
          <w:rPr>
            <w:rStyle w:val="Hyperlink"/>
            <w:rFonts w:ascii="Times New Roman" w:hAnsi="Times New Roman"/>
            <w:b w:val="false"/>
            <w:i w:val="false"/>
            <w:color w:val="000000"/>
            <w:sz w:val="22"/>
          </w:rPr>
          <w:t>11—117.15</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117.14(2)</w:t>
      </w:r>
      <w:r>
        <w:rPr>
          <w:rFonts w:ascii="Times New Roman" w:hAnsi="Times New Roman"/>
          <w:b w:val="false"/>
          <w:i w:val="false"/>
          <w:color w:val="000000"/>
          <w:sz w:val="22"/>
        </w:rPr>
        <w:t> </w:t>
      </w:r>
      <w:r>
        <w:rPr>
          <w:rFonts w:ascii="Times New Roman" w:hAnsi="Times New Roman"/>
          <w:b w:val="false"/>
          <w:i/>
          <w:color w:val="000000"/>
          <w:sz w:val="22"/>
        </w:rPr>
        <w:t xml:space="preserve">Purchase of services. </w:t>
      </w:r>
      <w:r>
        <w:rPr>
          <w:rFonts w:ascii="Times New Roman" w:hAnsi="Times New Roman"/>
          <w:b w:val="false"/>
          <w:i w:val="false"/>
          <w:color w:val="000000"/>
          <w:sz w:val="22"/>
        </w:rPr>
        <w:t xml:space="preserve">An agency may procure services unique to the agency’s program or used primarily by that agency and not by other agencies. The department will assist agencies with these procurements upon request. Procurement of services by an agency shall comply with the provisions of </w:t>
      </w:r>
      <w:hyperlink r:id="rId5">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117.14(3)</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the first step in the printing procurement process, an agency may provide its request to state printing. State printing may produce the printing internally or procure the printing for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may procure printing. Procurement of printing by an agency shall utilize formal or informal competitive selection, pursuant to </w:t>
      </w:r>
      <w:hyperlink r:id="rId7">
        <w:r>
          <w:rPr>
            <w:rStyle w:val="Hyperlink"/>
            <w:rFonts w:ascii="Times New Roman" w:hAnsi="Times New Roman"/>
            <w:b w:val="false"/>
            <w:i w:val="false"/>
            <w:color w:val="000000"/>
            <w:sz w:val="22"/>
          </w:rPr>
          <w:t>11—117.3</w:t>
        </w:r>
      </w:hyperlink>
      <w:r>
        <w:rPr>
          <w:rFonts w:ascii="Times New Roman" w:hAnsi="Times New Roman"/>
          <w:b w:val="false"/>
          <w:i w:val="false"/>
          <w:color w:val="000000"/>
          <w:sz w:val="22"/>
        </w:rPr>
        <w:t>(8A). The agency’s internal procedures and controls for competitive selection of a printing vendor shall be consistent with the requirements of the department and the state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117.14(4)</w:t>
      </w:r>
      <w:r>
        <w:rPr>
          <w:rFonts w:ascii="Times New Roman" w:hAnsi="Times New Roman"/>
          <w:b w:val="false"/>
          <w:i w:val="false"/>
          <w:color w:val="000000"/>
          <w:sz w:val="22"/>
        </w:rPr>
        <w:t> </w:t>
      </w:r>
      <w:r>
        <w:rPr>
          <w:rFonts w:ascii="Times New Roman" w:hAnsi="Times New Roman"/>
          <w:b w:val="false"/>
          <w:i/>
          <w:color w:val="000000"/>
          <w:sz w:val="22"/>
        </w:rPr>
        <w:t xml:space="preserve">Procurements requiring additional authorization. </w:t>
      </w:r>
      <w:r>
        <w:rPr>
          <w:rFonts w:ascii="Times New Roman" w:hAnsi="Times New Roman"/>
          <w:b w:val="false"/>
          <w:i w:val="false"/>
          <w:color w:val="000000"/>
          <w:sz w:val="22"/>
        </w:rPr>
        <w:t>Except where exempted by statute, the following purchases require additional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as prescribed in Iowa Code sections </w:t>
      </w:r>
      <w:hyperlink r:id="rId8">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8A.362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and engineering services, except for agencies with independent authority, as prescribed in Iowa Code sections </w:t>
      </w:r>
      <w:hyperlink r:id="rId10">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8A.321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218.58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904.315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counsel, as prescribed in Iowa Code section </w:t>
      </w:r>
      <w:hyperlink r:id="rId15">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equipment and services, as required by Iowa Code chapter </w:t>
      </w:r>
      <w:hyperlink r:id="rId16">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and the rules of the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agency internal procedures and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Agencies shall establish internal controls and procedures to initiate purchases, complete solicitations, make awards, approve purchases, and receive goods. The procedures shall address adequate public recordings of the purchases under the agency’s authority consistent with law and rule. Internal controls and security procedures that are consistent with the requirements of the department and state auditor, including staff authority to initiate, execute, approve, and receive purchases, shall be in place for all phases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participating in the department’s purchasing card program shall comply with the program policies and procedures in accordance with state procurement and accounting policies, and any applicable statutory and regulatory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agency develops internal policies and procedures specific to its use of purchasing cards, the policies and procedures may be more, but not less, restrictive than the department’s. In the event of a conflict between the agency and department policies and procedures, the department’s shall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117.14(6)</w:t>
      </w:r>
      <w:r>
        <w:rPr>
          <w:rFonts w:ascii="Times New Roman" w:hAnsi="Times New Roman"/>
          <w:b w:val="false"/>
          <w:i w:val="false"/>
          <w:color w:val="000000"/>
          <w:sz w:val="22"/>
        </w:rPr>
        <w:t> </w:t>
      </w:r>
      <w:r>
        <w:rPr>
          <w:rFonts w:ascii="Times New Roman" w:hAnsi="Times New Roman"/>
          <w:b w:val="false"/>
          <w:i/>
          <w:color w:val="000000"/>
          <w:sz w:val="22"/>
        </w:rPr>
        <w:t xml:space="preserve">Agency receipt of goods. </w:t>
      </w:r>
      <w:r>
        <w:rPr>
          <w:rFonts w:ascii="Times New Roman" w:hAnsi="Times New Roman"/>
          <w:b w:val="false"/>
          <w:i w:val="false"/>
          <w:color w:val="000000"/>
          <w:sz w:val="22"/>
        </w:rPr>
        <w:t>Agencies receiving goods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 or otherwise determine that the goods received meet the specifications, terms and conditions within the order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timely payment for goods meeting specifications,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receipt of goods electronically in a manner prescribed by the department.</w:t>
      </w:r>
    </w:p>
    <w:p>
      <w:pPr>
        <w:spacing w:before="0" w:after="0"/>
        <w:ind w:left="120"/>
        <w:jc w:val="both"/>
      </w:pPr>
      <w:r>
        <w:rPr>
          <w:rFonts w:ascii="Times New Roman" w:hAnsi="Times New Roman"/>
          <w:b w:val="false"/>
          <w:i w:val="false"/>
          <w:color w:val="000000"/>
          <w:sz w:val="22"/>
        </w:rPr>
        <w:t xml:space="preserve">All provisions of </w:t>
      </w:r>
      <w:hyperlink r:id="rId17">
        <w:r>
          <w:rPr>
            <w:rStyle w:val="Hyperlink"/>
            <w:rFonts w:ascii="Times New Roman" w:hAnsi="Times New Roman"/>
            <w:b w:val="false"/>
            <w:i w:val="false"/>
            <w:color w:val="000000"/>
            <w:sz w:val="22"/>
          </w:rPr>
          <w:t>11—117.19</w:t>
        </w:r>
      </w:hyperlink>
      <w:r>
        <w:rPr>
          <w:rFonts w:ascii="Times New Roman" w:hAnsi="Times New Roman"/>
          <w:b w:val="false"/>
          <w:i w:val="false"/>
          <w:color w:val="000000"/>
          <w:sz w:val="22"/>
        </w:rPr>
        <w:t>(8A) shall apply to agency receipt of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117.14(7)</w:t>
      </w:r>
      <w:r>
        <w:rPr>
          <w:rFonts w:ascii="Times New Roman" w:hAnsi="Times New Roman"/>
          <w:b w:val="false"/>
          <w:i w:val="false"/>
          <w:color w:val="000000"/>
          <w:sz w:val="22"/>
        </w:rPr>
        <w:t> </w:t>
      </w:r>
      <w:r>
        <w:rPr>
          <w:rFonts w:ascii="Times New Roman" w:hAnsi="Times New Roman"/>
          <w:b w:val="false"/>
          <w:i/>
          <w:color w:val="000000"/>
          <w:sz w:val="22"/>
        </w:rPr>
        <w:t xml:space="preserve">Partial orders. </w:t>
      </w:r>
      <w:r>
        <w:rPr>
          <w:rFonts w:ascii="Times New Roman" w:hAnsi="Times New Roman"/>
          <w:b w:val="false"/>
          <w:i w:val="false"/>
          <w:color w:val="000000"/>
          <w:sz w:val="22"/>
        </w:rPr>
        <w:t>Agencies may accept partial orders and await additional final receipt or may accept a partial order as a final order. The agency shall notify the vendor of its decision. An agency may pay a vendor a prorated amount for the partial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117.14(8)</w:t>
      </w:r>
      <w:r>
        <w:rPr>
          <w:rFonts w:ascii="Times New Roman" w:hAnsi="Times New Roman"/>
          <w:b w:val="false"/>
          <w:i w:val="false"/>
          <w:color w:val="000000"/>
          <w:sz w:val="22"/>
        </w:rPr>
        <w:t> </w:t>
      </w:r>
      <w:r>
        <w:rPr>
          <w:rFonts w:ascii="Times New Roman" w:hAnsi="Times New Roman"/>
          <w:b w:val="false"/>
          <w:i/>
          <w:color w:val="000000"/>
          <w:sz w:val="22"/>
        </w:rPr>
        <w:t xml:space="preserve">Items not meeting specifications. </w:t>
      </w:r>
      <w:r>
        <w:rPr>
          <w:rFonts w:ascii="Times New Roman" w:hAnsi="Times New Roman"/>
          <w:b w:val="false"/>
          <w:i w:val="false"/>
          <w:color w:val="000000"/>
          <w:sz w:val="22"/>
        </w:rPr>
        <w:t>An agency shall not approve final receipt when goods appear not to meet specifications. An agency shall approve final receipt only when satisfied that the goods meet or exceed the specifications and terms and conditions of the order or master agreement. When an agency and vendor are unable to agree as to whether the specifications, terms and conditions are met, the department shall make the decision.</w:t>
      </w:r>
    </w:p>
    <w:p>
      <w:pPr>
        <w:spacing w:before="0" w:after="0"/>
        <w:ind w:left="120"/>
        <w:jc w:val="both"/>
      </w:pPr>
      <w:r>
        <w:rPr>
          <w:rFonts w:ascii="Times New Roman" w:hAnsi="Times New Roman"/>
          <w:b w:val="false"/>
          <w:i w:val="false"/>
          <w:color w:val="000000"/>
          <w:sz w:val="22"/>
        </w:rPr>
        <w:t>Agencies shall notify the department and the vendor when apparent defects are first noticed. The department will assist the agency with negotiating a satisfactory settlement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117.14(9)</w:t>
      </w:r>
      <w:r>
        <w:rPr>
          <w:rFonts w:ascii="Times New Roman" w:hAnsi="Times New Roman"/>
          <w:b w:val="false"/>
          <w:i w:val="false"/>
          <w:color w:val="000000"/>
          <w:sz w:val="22"/>
        </w:rPr>
        <w:t> </w:t>
      </w:r>
      <w:r>
        <w:rPr>
          <w:rFonts w:ascii="Times New Roman" w:hAnsi="Times New Roman"/>
          <w:b w:val="false"/>
          <w:i/>
          <w:color w:val="000000"/>
          <w:sz w:val="22"/>
        </w:rPr>
        <w:t xml:space="preserve">Payment to vendors following final receipt. </w:t>
      </w:r>
      <w:r>
        <w:rPr>
          <w:rFonts w:ascii="Times New Roman" w:hAnsi="Times New Roman"/>
          <w:b w:val="false"/>
          <w:i w:val="false"/>
          <w:color w:val="000000"/>
          <w:sz w:val="22"/>
        </w:rPr>
        <w:t>An agency shall not unreasonably delay payment on orders for which final receipt is accepted. Except in the case of latent defects in goods, payment to the vendor by the agency signifies agreement by the agency that the goods received are satisfactory. Payment to vendors may be made by any commercially acceptable method, including a state procurement card, in accordance with state financial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117.15.pdf" Type="http://schemas.openxmlformats.org/officeDocument/2006/relationships/hyperlink" Id="rId4"/>
    <Relationship TargetMode="External" Target="https://www.legis.iowa.gov/docs/iac/chapter/11.118.pdf" Type="http://schemas.openxmlformats.org/officeDocument/2006/relationships/hyperlink" Id="rId5"/>
    <Relationship TargetMode="External" Target="https://www.legis.iowa.gov/docs/iac/chapter/11.119.pdf" Type="http://schemas.openxmlformats.org/officeDocument/2006/relationships/hyperlink" Id="rId6"/>
    <Relationship TargetMode="External" Target="https://www.legis.iowa.gov/docs/iac/rule/11.117.3.pdf" Type="http://schemas.openxmlformats.org/officeDocument/2006/relationships/hyperlink" Id="rId7"/>
    <Relationship TargetMode="External" Target="https://www.legis.iowa.gov/docs/ico/chapter/8A.361.pdf" Type="http://schemas.openxmlformats.org/officeDocument/2006/relationships/hyperlink" Id="rId8"/>
    <Relationship TargetMode="External" Target="https://www.legis.iowa.gov/docs/ico/chapter/8A.362.pdf" Type="http://schemas.openxmlformats.org/officeDocument/2006/relationships/hyperlink" Id="rId9"/>
    <Relationship TargetMode="External" Target="https://www.legis.iowa.gov/docs/ico/chapter/8A.302.pdf" Type="http://schemas.openxmlformats.org/officeDocument/2006/relationships/hyperlink" Id="rId10"/>
    <Relationship TargetMode="External" Target="https://www.legis.iowa.gov/docs/ico/chapter/8A.311.pdf" Type="http://schemas.openxmlformats.org/officeDocument/2006/relationships/hyperlink" Id="rId11"/>
    <Relationship TargetMode="External" Target="https://www.legis.iowa.gov/docs/ico/chapter/8A.321.pdf" Type="http://schemas.openxmlformats.org/officeDocument/2006/relationships/hyperlink" Id="rId12"/>
    <Relationship TargetMode="External" Target="https://www.legis.iowa.gov/docs/ico/chapter/218.58.pdf" Type="http://schemas.openxmlformats.org/officeDocument/2006/relationships/hyperlink" Id="rId13"/>
    <Relationship TargetMode="External" Target="https://www.legis.iowa.gov/docs/ico/chapter/904.315.pdf" Type="http://schemas.openxmlformats.org/officeDocument/2006/relationships/hyperlink" Id="rId14"/>
    <Relationship TargetMode="External" Target="https://www.legis.iowa.gov/docs/ico/chapter/13.7.pdf" Type="http://schemas.openxmlformats.org/officeDocument/2006/relationships/hyperlink" Id="rId15"/>
    <Relationship TargetMode="External" Target="https://www.legis.iowa.gov/docs/ico/chapter/8D.pdf" Type="http://schemas.openxmlformats.org/officeDocument/2006/relationships/hyperlink" Id="rId16"/>
    <Relationship TargetMode="External" Target="https://www.legis.iowa.gov/docs/iac/rule/11.117.19.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