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101—5.10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state assessment remittances identifying individual producers and the amounts remitted, refund requests from producers, and personal information in confidential personnel records. This information is collected pursuant to the authority of Iowa Code chapter </w:t>
      </w:r>
      <w:hyperlink r:id="rId4">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 xml:space="preserve"> and is stored in the office files of the council office. All information contained in the monthly remittance forms, private treaty forms, and refund requests submitted to the agency shall be confidential to the extent provided in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Appropriate totals, summaries, aggregations, and other staff analyses of information contained in these files, when presented in a form not containing personally identifiable information, shall be public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3082C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81.pdf" Type="http://schemas.openxmlformats.org/officeDocument/2006/relationships/hyperlink" Id="rId4"/>
    <Relationship TargetMode="External" Target="https://www.legis.iowa.gov/docs/ico/chapter/22.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