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761—800.4</w:t>
      </w:r>
      <w:r>
        <w:rPr>
          <w:rFonts w:ascii="Times New Roman" w:hAnsi="Times New Roman"/>
          <w:b/>
          <w:i w:val="false"/>
          <w:color w:val="000000"/>
          <w:sz w:val="22"/>
        </w:rPr>
        <w:t xml:space="preserve">(307,327F) </w:t>
      </w:r>
      <w:r>
        <w:rPr>
          <w:rFonts w:ascii="Times New Roman" w:hAnsi="Times New Roman"/>
          <w:b/>
          <w:i w:val="false"/>
          <w:color w:val="000000"/>
          <w:sz w:val="22"/>
        </w:rPr>
        <w:t xml:space="preserve">Train speed ordinances. </w:t>
      </w:r>
      <w:r>
        <w:rPr>
          <w:rFonts w:ascii="Times New Roman" w:hAnsi="Times New Roman"/>
          <w:b w:val="false"/>
          <w:i w:val="false"/>
          <w:color w:val="000000"/>
          <w:sz w:val="22"/>
        </w:rPr>
        <w:t>An ordinance or resolution adopted by a political subdivision that relates to the speed of a train in an area within the jurisdiction of the political subdivision is subject to department approval according to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800.4(1)</w:t>
      </w:r>
      <w:r>
        <w:rPr>
          <w:rFonts w:ascii="Times New Roman" w:hAnsi="Times New Roman"/>
          <w:b w:val="false"/>
          <w:i w:val="false"/>
          <w:color w:val="000000"/>
          <w:sz w:val="22"/>
        </w:rPr>
        <w:t> </w:t>
      </w:r>
      <w:r>
        <w:rPr>
          <w:rFonts w:ascii="Times New Roman" w:hAnsi="Times New Roman"/>
          <w:b w:val="false"/>
          <w:i w:val="false"/>
          <w:color w:val="000000"/>
          <w:sz w:val="22"/>
        </w:rPr>
        <w:t>The political subdivision is to submit the ordinance/resolution to the department supported by information or reasons that justify its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800.4(2)</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affected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800.4(3)</w:t>
      </w:r>
      <w:r>
        <w:rPr>
          <w:rFonts w:ascii="Times New Roman" w:hAnsi="Times New Roman"/>
          <w:b w:val="false"/>
          <w:i w:val="false"/>
          <w:color w:val="000000"/>
          <w:sz w:val="22"/>
        </w:rPr>
        <w:t> </w:t>
      </w:r>
      <w:r>
        <w:rPr>
          <w:rFonts w:ascii="Times New Roman" w:hAnsi="Times New Roman"/>
          <w:b w:val="false"/>
          <w:i w:val="false"/>
          <w:color w:val="000000"/>
          <w:sz w:val="22"/>
        </w:rPr>
        <w:t>The political subdivision and the affected railroads will have 30 days in which to submit position papers to the department before the department issues an order approving or disapproving the ordinance/resolution.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800.4(4)</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order approving or disapproving the ordinance/resolution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the proposed ordinance/resolution only if the proposal satisfies the requirements of </w:t>
      </w:r>
      <w:r>
        <w:rPr>
          <w:rFonts w:ascii="Times New Roman" w:hAnsi="Times New Roman"/>
          <w:b w:val="false"/>
          <w:i w:val="false"/>
          <w:color w:val="000000"/>
          <w:sz w:val="22"/>
        </w:rPr>
        <w:t>49 U.S.C. 20106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Generally, the department does not consider highway-railroad grade crossings or rail lines located near schools, residences, or commercial activities to be local safety hazards that can be remedied by train speed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making its decision, the department may also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Traffic density and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Accident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Causes of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Obstructions to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Traffic controls at crossings.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Population density.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Resulting burden on the rail transportation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Resulting benefit to residents of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mail notice of its order approving or disapproving the ordinance/resolution by certified mail, return receipt requested, to the political subdivision and the affected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issues an order approving the ordinance/resolution, it will go into effect 25 days after the notice is mailed unless the order is contested pursuant to subrule </w:t>
      </w:r>
      <w:hyperlink r:id="rId4">
        <w:r>
          <w:rPr>
            <w:rStyle w:val="Hyperlink"/>
            <w:rFonts w:ascii="Times New Roman" w:hAnsi="Times New Roman"/>
            <w:b w:val="false"/>
            <w:i w:val="false"/>
            <w:color w:val="000000"/>
            <w:sz w:val="22"/>
          </w:rPr>
          <w:t>800.4(7)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800.4(7)</w:t>
      </w:r>
      <w:r>
        <w:rPr>
          <w:rFonts w:ascii="Times New Roman" w:hAnsi="Times New Roman"/>
          <w:b w:val="false"/>
          <w:i w:val="false"/>
          <w:color w:val="000000"/>
          <w:sz w:val="22"/>
        </w:rPr>
        <w:t> </w:t>
      </w:r>
      <w:r>
        <w:rPr>
          <w:rFonts w:ascii="Times New Roman" w:hAnsi="Times New Roman"/>
          <w:b w:val="false"/>
          <w:i w:val="false"/>
          <w:color w:val="000000"/>
          <w:sz w:val="22"/>
        </w:rPr>
        <w:t>Within 20 days after the notice is mailed, the political subdivision or an affected railroad may submit to the department a written statement contesting the department’s order approving or disapproving the ordinance/resolution.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order is contested, </w:t>
      </w:r>
      <w:hyperlink r:id="rId5">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order approving an ordinance/resolution is contested, the order shall be stayed pending the outcome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800.4(8)</w:t>
      </w:r>
      <w:r>
        <w:rPr>
          <w:rFonts w:ascii="Times New Roman" w:hAnsi="Times New Roman"/>
          <w:b w:val="false"/>
          <w:i w:val="false"/>
          <w:color w:val="000000"/>
          <w:sz w:val="22"/>
        </w:rPr>
        <w:t> </w:t>
      </w:r>
      <w:r>
        <w:rPr>
          <w:rFonts w:ascii="Times New Roman" w:hAnsi="Times New Roman"/>
          <w:b w:val="false"/>
          <w:i w:val="false"/>
          <w:color w:val="000000"/>
          <w:sz w:val="22"/>
        </w:rPr>
        <w:t>A submission to the department under this rule will be deemed timely submitted if it is delivered or postmarked within the time period specified.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307.26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327F.31</w:t>
        </w:r>
      </w:hyperlink>
      <w:r>
        <w:rPr>
          <w:rFonts w:ascii="Times New Roman" w:hAnsi="Times New Roman"/>
          <w:b w:val="false"/>
          <w:i w:val="false"/>
          <w:color w:val="000000"/>
          <w:sz w:val="22"/>
        </w:rPr>
        <w:t xml:space="preserve"> and 2001 Iowa Op. Att’y Gen. #01-5-2.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800.4.pdf" Type="http://schemas.openxmlformats.org/officeDocument/2006/relationships/hyperlink" Id="rId4"/>
    <Relationship TargetMode="External" Target="https://www.legis.iowa.gov/docs/iac/chapter/761.2506.pdf" Type="http://schemas.openxmlformats.org/officeDocument/2006/relationships/hyperlink" Id="rId5"/>
    <Relationship TargetMode="External" Target="https://www.legis.iowa.gov/docs/ico/chapter/307.12.pdf" Type="http://schemas.openxmlformats.org/officeDocument/2006/relationships/hyperlink" Id="rId6"/>
    <Relationship TargetMode="External" Target="https://www.legis.iowa.gov/docs/ico/chapter/307.26.pdf" Type="http://schemas.openxmlformats.org/officeDocument/2006/relationships/hyperlink" Id="rId7"/>
    <Relationship TargetMode="External" Target="https://www.legis.iowa.gov/docs/ico/chapter/327F.3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