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761—529.3</w:t>
      </w:r>
      <w:r>
        <w:rPr>
          <w:rFonts w:ascii="Times New Roman" w:hAnsi="Times New Roman"/>
          <w:b/>
          <w:i w:val="false"/>
          <w:color w:val="000000"/>
          <w:sz w:val="22"/>
        </w:rPr>
        <w:t xml:space="preserve">(307,327B) </w:t>
      </w:r>
      <w:r>
        <w:rPr>
          <w:rFonts w:ascii="Times New Roman" w:hAnsi="Times New Roman"/>
          <w:b/>
          <w:i w:val="false"/>
          <w:color w:val="000000"/>
          <w:sz w:val="22"/>
        </w:rPr>
        <w:t xml:space="preserve">Waiver of rules. </w:t>
      </w:r>
      <w:r>
        <w:rPr>
          <w:rFonts w:ascii="Times New Roman" w:hAnsi="Times New Roman"/>
          <w:b w:val="false"/>
          <w:i w:val="false"/>
          <w:color w:val="000000"/>
          <w:sz w:val="22"/>
        </w:rPr>
        <w:t xml:space="preserve">In accordance with </w:t>
      </w:r>
      <w:hyperlink r:id="rId4">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the director of transportation or the director’s designee (director) may, in response to a petition, waive provisions of this chapter. A waiver will not be granted unless the director finds that special or emergency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or emergency circumstances”</w:t>
      </w:r>
      <w:r>
        <w:rPr>
          <w:rFonts w:ascii="Times New Roman" w:hAnsi="Times New Roman"/>
          <w:b w:val="false"/>
          <w:i w:val="false"/>
          <w:color w:val="000000"/>
          <w:sz w:val="22"/>
        </w:rPr>
        <w:t> </w:t>
      </w:r>
      <w:r>
        <w:rPr>
          <w:rFonts w:ascii="Times New Roman" w:hAnsi="Times New Roman"/>
          <w:b w:val="false"/>
          <w:i w:val="false"/>
          <w:color w:val="000000"/>
          <w:sz w:val="22"/>
        </w:rPr>
        <w:t>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Circumstances where movement involves emergency-type vehicles.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 to the safety of the traveling public or undue damage to private or public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9514C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61.250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