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761—401.9</w:t>
      </w:r>
      <w:r>
        <w:rPr>
          <w:rFonts w:ascii="Times New Roman" w:hAnsi="Times New Roman"/>
          <w:b/>
          <w:i w:val="false"/>
          <w:color w:val="000000"/>
          <w:sz w:val="22"/>
        </w:rPr>
        <w:t xml:space="preserve">(17A,307,321) </w:t>
      </w:r>
      <w:r>
        <w:rPr>
          <w:rFonts w:ascii="Times New Roman" w:hAnsi="Times New Roman"/>
          <w:b/>
          <w:i w:val="false"/>
          <w:color w:val="000000"/>
          <w:sz w:val="22"/>
        </w:rPr>
        <w:t xml:space="preserve">Revocation of plates—appeal.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401.9(1)</w:t>
      </w:r>
      <w:r>
        <w:rPr>
          <w:rFonts w:ascii="Times New Roman" w:hAnsi="Times New Roman"/>
          <w:b w:val="false"/>
          <w:i w:val="false"/>
          <w:color w:val="000000"/>
          <w:sz w:val="22"/>
        </w:rPr>
        <w:t> </w:t>
      </w:r>
      <w:r>
        <w:rPr>
          <w:rFonts w:ascii="Times New Roman" w:hAnsi="Times New Roman"/>
          <w:b w:val="false"/>
          <w:i w:val="false"/>
          <w:color w:val="000000"/>
          <w:sz w:val="22"/>
        </w:rPr>
        <w:t>A special registration plate or personalized plate shall be revoked if the department determines it has been issued in conflict with the statutes or rules governing the plate’s issuance. The department shall send the notice of revocation to a person’s mailing address by certified mail, and the revocation takes effect 20 days from the date of mailing. Revoked plates must be surrendered to the county treasurer within ten days of the date of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may contest the decision of the department in accordance with </w:t>
      </w:r>
      <w:hyperlink r:id="rId4">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The request will be deemed timely if it is delivered or postmarked on or before the effective date specified in the notice.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61.2506.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307.12.pdf" Type="http://schemas.openxmlformats.org/officeDocument/2006/relationships/hyperlink" Id="rId6"/>
    <Relationship TargetMode="External" Target="https://www.legis.iowa.gov/docs/ico/chapter/321.3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