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701—700.8</w:t>
      </w:r>
      <w:r>
        <w:rPr>
          <w:rFonts w:ascii="Times New Roman" w:hAnsi="Times New Roman"/>
          <w:b/>
          <w:i w:val="false"/>
          <w:color w:val="000000"/>
          <w:sz w:val="22"/>
        </w:rPr>
        <w:t xml:space="preserve">(422) </w:t>
      </w:r>
      <w:r>
        <w:rPr>
          <w:rFonts w:ascii="Times New Roman" w:hAnsi="Times New Roman"/>
          <w:b/>
          <w:i w:val="false"/>
          <w:color w:val="000000"/>
          <w:sz w:val="22"/>
        </w:rPr>
        <w:t xml:space="preserve">The income tax certificate of acquittance.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Iowa Code section </w:t>
      </w:r>
      <w:hyperlink r:id="rId4">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requires the income tax obligation of an estate or trust to be paid prior to approval of the final report by the court. Iowa Code section </w:t>
      </w:r>
      <w:hyperlink r:id="rId5">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refers only to the report of the executor, administrator or trustee. In addition, the statute makes reference only to a trustee’s final report that is approved by a court. A trust that does not report to and is not subject to the supervision of a court will not be issued a certificate of acquittance. However, the statute’s reference to a trustee who must report to the court would also include but not be limited to a referee in partition and the trustee of the estate of an individual bankrupt under Chapter 7 or 11 of Title 11 of the United States Code. What constitutes a trust is a matter of the trust law of the state of situs.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700.8(2)</w:t>
      </w:r>
      <w:r>
        <w:rPr>
          <w:rFonts w:ascii="Times New Roman" w:hAnsi="Times New Roman"/>
          <w:b w:val="false"/>
          <w:i w:val="false"/>
          <w:color w:val="000000"/>
          <w:sz w:val="22"/>
        </w:rPr>
        <w:t> </w:t>
      </w:r>
      <w:r>
        <w:rPr>
          <w:rFonts w:ascii="Times New Roman" w:hAnsi="Times New Roman"/>
          <w:b w:val="false"/>
          <w:i/>
          <w:color w:val="000000"/>
          <w:sz w:val="22"/>
        </w:rPr>
        <w:t xml:space="preserve">The application for certificate of acquittance. </w:t>
      </w:r>
      <w:r>
        <w:rPr>
          <w:rFonts w:ascii="Times New Roman" w:hAnsi="Times New Roman"/>
          <w:b w:val="false"/>
          <w:i w:val="false"/>
          <w:color w:val="000000"/>
          <w:sz w:val="22"/>
        </w:rPr>
        <w:t>The final fiduciary return of income serves as an application for an income tax certificate of acquittance. For a certificate of acquittance to be received, the appropriate box on the final fiduciary return must be checked to request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certificate of acquittance. </w:t>
      </w:r>
      <w:r>
        <w:rPr>
          <w:rFonts w:ascii="Times New Roman" w:hAnsi="Times New Roman"/>
          <w:b w:val="false"/>
          <w:i w:val="false"/>
          <w:color w:val="000000"/>
          <w:sz w:val="22"/>
        </w:rPr>
        <w:t xml:space="preserve">The issuance of an income tax certificate of acquittance is dependent upon full payment of the income tax liability of the estate or trust for the period of administration. This includes the obligation to pay composite return tax on distributions of nonresident beneficiaries’ Iowa-source income from the estate or trust. In the case of an estate, the income tax liability of the decedent both for prior years and the year of death must be paid to the extent of the probate property subject to the jurisdiction of the court. The probate property must be applied to the payment of the decedent’s income tax liability according to the order of payment of an estate’s debts and charges specified in Iowa Code section </w:t>
      </w:r>
      <w:hyperlink r:id="rId6">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 If the probate property of the estate is insufficient to pay the decedent’s income tax obligation in full, the department, in lieu of a certificate of acquittance, shall issue a certificate stating that the probate property is insufficient to pay the decedent’s income tax liability and that the department does not object to the closure of the estate. In the event the decedent’s income tax obligation is not paid in full, the closure of the decedent’s estate does not release any other person who is liable to pay the decedent’s income tax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700.8(4)</w:t>
      </w:r>
      <w:r>
        <w:rPr>
          <w:rFonts w:ascii="Times New Roman" w:hAnsi="Times New Roman"/>
          <w:b w:val="false"/>
          <w:i w:val="false"/>
          <w:color w:val="000000"/>
          <w:sz w:val="22"/>
        </w:rPr>
        <w:t> </w:t>
      </w:r>
      <w:r>
        <w:rPr>
          <w:rFonts w:ascii="Times New Roman" w:hAnsi="Times New Roman"/>
          <w:b w:val="false"/>
          <w:i/>
          <w:color w:val="000000"/>
          <w:sz w:val="22"/>
        </w:rPr>
        <w:t xml:space="preserve">The extent of the certificate. </w:t>
      </w:r>
      <w:r>
        <w:rPr>
          <w:rFonts w:ascii="Times New Roman" w:hAnsi="Times New Roman"/>
          <w:b w:val="false"/>
          <w:i w:val="false"/>
          <w:color w:val="000000"/>
          <w:sz w:val="22"/>
        </w:rPr>
        <w:t xml:space="preserve">An income tax certificate of acquittance is a statement from the department certifying that all income taxes due from the estate or trust have been paid in full to the extent of the income and deductions reported to the department. The certificate fulfills the statutory requirements of Iowa Code section </w:t>
      </w:r>
      <w:hyperlink r:id="rId7">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and the Iowa income tax portion of the requirements of Iowa Code sections </w:t>
      </w:r>
      <w:hyperlink r:id="rId8">
        <w:r>
          <w:rPr>
            <w:rStyle w:val="Hyperlink"/>
            <w:rFonts w:ascii="Times New Roman" w:hAnsi="Times New Roman"/>
            <w:b w:val="false"/>
            <w:i w:val="false"/>
            <w:color w:val="000000"/>
            <w:sz w:val="22"/>
          </w:rPr>
          <w:t>633.477</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633.479</w:t>
        </w:r>
      </w:hyperlink>
      <w:r>
        <w:rPr>
          <w:rFonts w:ascii="Times New Roman" w:hAnsi="Times New Roman"/>
          <w:b w:val="false"/>
          <w:i w:val="false"/>
          <w:color w:val="000000"/>
          <w:sz w:val="22"/>
        </w:rPr>
        <w:t xml:space="preserve">. Providing all other closure requirements are met, the certificate permits the closure of the estate or trust by the court. However, the certificate of acquittance is not a release of liability for any income tax or additional tax that may become due, such as the result of an audit by the Internal Revenue Service or because of additional income not reported. </w:t>
      </w:r>
      <w:hyperlink r:id="rId10">
        <w:r>
          <w:rPr>
            <w:rStyle w:val="Hyperlink"/>
            <w:rFonts w:ascii="Times New Roman" w:hAnsi="Times New Roman"/>
            <w:b w:val="false"/>
            <w:i w:val="false"/>
            <w:color w:val="000000"/>
            <w:sz w:val="22"/>
          </w:rPr>
          <w:t>701—subrule 300.2(1)</w:t>
        </w:r>
      </w:hyperlink>
      <w:r>
        <w:rPr>
          <w:rFonts w:ascii="Times New Roman" w:hAnsi="Times New Roman"/>
          <w:b w:val="false"/>
          <w:i w:val="false"/>
          <w:color w:val="000000"/>
          <w:sz w:val="22"/>
        </w:rPr>
        <w:t xml:space="preserve"> provides more information on limitations on the period of time to conduct income tax audits.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700.8(5)</w:t>
      </w:r>
      <w:r>
        <w:rPr>
          <w:rFonts w:ascii="Times New Roman" w:hAnsi="Times New Roman"/>
          <w:b w:val="false"/>
          <w:i w:val="false"/>
          <w:color w:val="000000"/>
          <w:sz w:val="22"/>
        </w:rPr>
        <w:t> </w:t>
      </w:r>
      <w:r>
        <w:rPr>
          <w:rFonts w:ascii="Times New Roman" w:hAnsi="Times New Roman"/>
          <w:b w:val="false"/>
          <w:i/>
          <w:color w:val="000000"/>
          <w:sz w:val="22"/>
        </w:rPr>
        <w:t xml:space="preserve">Appeals to the director. </w:t>
      </w:r>
      <w:r>
        <w:rPr>
          <w:rFonts w:ascii="Times New Roman" w:hAnsi="Times New Roman"/>
          <w:b w:val="false"/>
          <w:i w:val="false"/>
          <w:color w:val="000000"/>
          <w:sz w:val="22"/>
        </w:rPr>
        <w:t xml:space="preserve">A denial of a request for an income tax certificate of acquittance may be appealed. An appeal to the director must be in writing and must be made within 60 days of the denial. </w:t>
      </w:r>
      <w:hyperlink r:id="rId11">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provides more information and governs these appeals to the director.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3">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633.477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633.479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27.pdf" Type="http://schemas.openxmlformats.org/officeDocument/2006/relationships/hyperlink" Id="rId4"/>
    <Relationship TargetMode="External" Target="https://www.legis.iowa.gov/docs/ico/chapter/422.27.pdf" Type="http://schemas.openxmlformats.org/officeDocument/2006/relationships/hyperlink" Id="rId5"/>
    <Relationship TargetMode="External" Target="https://www.legis.iowa.gov/docs/ico/chapter/633.425.pdf" Type="http://schemas.openxmlformats.org/officeDocument/2006/relationships/hyperlink" Id="rId6"/>
    <Relationship TargetMode="External" Target="https://www.legis.iowa.gov/docs/ico/chapter/422.27.pdf" Type="http://schemas.openxmlformats.org/officeDocument/2006/relationships/hyperlink" Id="rId7"/>
    <Relationship TargetMode="External" Target="https://www.legis.iowa.gov/docs/ico/chapter/633.477.pdf" Type="http://schemas.openxmlformats.org/officeDocument/2006/relationships/hyperlink" Id="rId8"/>
    <Relationship TargetMode="External" Target="https://www.legis.iowa.gov/docs/ico/chapter/633.479.pdf" Type="http://schemas.openxmlformats.org/officeDocument/2006/relationships/hyperlink" Id="rId9"/>
    <Relationship TargetMode="External" Target="https://www.legis.iowa.gov/docs/iac/rule/701.300.2.pdf" Type="http://schemas.openxmlformats.org/officeDocument/2006/relationships/hyperlink" Id="rId10"/>
    <Relationship TargetMode="External" Target="https://www.legis.iowa.gov/docs/iac/chapter/701.7.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421.60.pdf" Type="http://schemas.openxmlformats.org/officeDocument/2006/relationships/hyperlink" Id="rId13"/>
    <Relationship TargetMode="External" Target="https://www.legis.iowa.gov/docs/ico/chapter/422.27.pdf" Type="http://schemas.openxmlformats.org/officeDocument/2006/relationships/hyperlink" Id="rId14"/>
    <Relationship TargetMode="External" Target="https://www.legis.iowa.gov/docs/ico/chapter/422.28.pdf" Type="http://schemas.openxmlformats.org/officeDocument/2006/relationships/hyperlink" Id="rId15"/>
    <Relationship TargetMode="External" Target="https://www.legis.iowa.gov/docs/ico/chapter/633.425.pdf" Type="http://schemas.openxmlformats.org/officeDocument/2006/relationships/hyperlink" Id="rId16"/>
    <Relationship TargetMode="External" Target="https://www.legis.iowa.gov/docs/ico/chapter/633.477.pdf" Type="http://schemas.openxmlformats.org/officeDocument/2006/relationships/hyperlink" Id="rId17"/>
    <Relationship TargetMode="External" Target="https://www.legis.iowa.gov/docs/ico/chapter/633.479.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