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701—700.7</w:t>
      </w:r>
      <w:r>
        <w:rPr>
          <w:rFonts w:ascii="Times New Roman" w:hAnsi="Times New Roman"/>
          <w:b/>
          <w:i w:val="false"/>
          <w:color w:val="000000"/>
          <w:sz w:val="22"/>
        </w:rPr>
        <w:t xml:space="preserve">(422) </w:t>
      </w:r>
      <w:r>
        <w:rPr>
          <w:rFonts w:ascii="Times New Roman" w:hAnsi="Times New Roman"/>
          <w:b/>
          <w:i w:val="false"/>
          <w:color w:val="000000"/>
          <w:sz w:val="22"/>
        </w:rPr>
        <w:t xml:space="preserve">Audits, assessments and refunds. </w:t>
      </w:r>
      <w:r>
        <w:rPr>
          <w:rFonts w:ascii="Times New Roman" w:hAnsi="Times New Roman"/>
          <w:b w:val="false"/>
          <w:i w:val="false"/>
          <w:color w:val="000000"/>
          <w:sz w:val="22"/>
        </w:rPr>
        <w:t xml:space="preserve">Rules </w:t>
      </w:r>
      <w:hyperlink r:id="rId4">
        <w:r>
          <w:rPr>
            <w:rStyle w:val="Hyperlink"/>
            <w:rFonts w:ascii="Times New Roman" w:hAnsi="Times New Roman"/>
            <w:b w:val="false"/>
            <w:i w:val="false"/>
            <w:color w:val="000000"/>
            <w:sz w:val="22"/>
          </w:rPr>
          <w:t>701—305.1</w:t>
        </w:r>
      </w:hyperlink>
      <w:r>
        <w:rPr>
          <w:rFonts w:ascii="Times New Roman" w:hAnsi="Times New Roman"/>
          <w:b w:val="false"/>
          <w:i w:val="false"/>
          <w:color w:val="000000"/>
          <w:sz w:val="22"/>
        </w:rPr>
        <w:t xml:space="preserve">(422) through </w:t>
      </w:r>
      <w:hyperlink r:id="rId5">
        <w:r>
          <w:rPr>
            <w:rStyle w:val="Hyperlink"/>
            <w:rFonts w:ascii="Times New Roman" w:hAnsi="Times New Roman"/>
            <w:b w:val="false"/>
            <w:i w:val="false"/>
            <w:color w:val="000000"/>
            <w:sz w:val="22"/>
          </w:rPr>
          <w:t>701—305.3</w:t>
        </w:r>
      </w:hyperlink>
      <w:r>
        <w:rPr>
          <w:rFonts w:ascii="Times New Roman" w:hAnsi="Times New Roman"/>
          <w:b w:val="false"/>
          <w:i w:val="false"/>
          <w:color w:val="000000"/>
          <w:sz w:val="22"/>
        </w:rPr>
        <w:t>(422) governing the audit of individual income tax returns, the assessment for tax or additional tax due, and the refund of excessive tax paid also govern the audit of the fiduciary income tax return and the assessment and refund of fiduciary income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422.30</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422.70</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422.73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0403D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305.1.pdf" Type="http://schemas.openxmlformats.org/officeDocument/2006/relationships/hyperlink" Id="rId4"/>
    <Relationship TargetMode="External" Target="https://www.legis.iowa.gov/docs/iac/rule/701.305.3.pdf" Type="http://schemas.openxmlformats.org/officeDocument/2006/relationships/hyperlink" Id="rId5"/>
    <Relationship TargetMode="External" Target="https://www.legis.iowa.gov/docs/ico/chapter/422.16.pdf" Type="http://schemas.openxmlformats.org/officeDocument/2006/relationships/hyperlink" Id="rId6"/>
    <Relationship TargetMode="External" Target="https://www.legis.iowa.gov/docs/ico/chapter/422.25.pdf" Type="http://schemas.openxmlformats.org/officeDocument/2006/relationships/hyperlink" Id="rId7"/>
    <Relationship TargetMode="External" Target="https://www.legis.iowa.gov/docs/ico/chapter/422.30.pdf" Type="http://schemas.openxmlformats.org/officeDocument/2006/relationships/hyperlink" Id="rId8"/>
    <Relationship TargetMode="External" Target="https://www.legis.iowa.gov/docs/ico/chapter/422.70.pdf" Type="http://schemas.openxmlformats.org/officeDocument/2006/relationships/hyperlink" Id="rId9"/>
    <Relationship TargetMode="External" Target="https://www.legis.iowa.gov/docs/ico/chapter/422.73.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