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701—700.2</w:t>
      </w:r>
      <w:r>
        <w:rPr>
          <w:rFonts w:ascii="Times New Roman" w:hAnsi="Times New Roman"/>
          <w:b/>
          <w:i w:val="false"/>
          <w:color w:val="000000"/>
          <w:sz w:val="22"/>
        </w:rPr>
        <w:t xml:space="preserve">(422) </w:t>
      </w:r>
      <w:r>
        <w:rPr>
          <w:rFonts w:ascii="Times New Roman" w:hAnsi="Times New Roman"/>
          <w:b/>
          <w:i w:val="false"/>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700.2(1)</w:t>
      </w:r>
      <w:r>
        <w:rPr>
          <w:rFonts w:ascii="Times New Roman" w:hAnsi="Times New Roman"/>
          <w:b w:val="false"/>
          <w:i w:val="false"/>
          <w:color w:val="000000"/>
          <w:sz w:val="22"/>
        </w:rPr>
        <w:t> </w:t>
      </w:r>
      <w:r>
        <w:rPr>
          <w:rFonts w:ascii="Times New Roman" w:hAnsi="Times New Roman"/>
          <w:b w:val="false"/>
          <w:i/>
          <w:color w:val="000000"/>
          <w:sz w:val="22"/>
        </w:rPr>
        <w:t xml:space="preserve">Documents to be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Estates of Iowa decedents. </w:t>
      </w:r>
      <w:r>
        <w:rPr>
          <w:rFonts w:ascii="Times New Roman" w:hAnsi="Times New Roman"/>
          <w:b w:val="false"/>
          <w:i w:val="false"/>
          <w:color w:val="000000"/>
          <w:sz w:val="22"/>
        </w:rPr>
        <w:t xml:space="preserve">A copy of the inheritance tax return (for decedents dying before January 1, 2025) and probate inventory required by Iowa Code section </w:t>
      </w:r>
      <w:hyperlink r:id="rId4">
        <w:r>
          <w:rPr>
            <w:rStyle w:val="Hyperlink"/>
            <w:rFonts w:ascii="Times New Roman" w:hAnsi="Times New Roman"/>
            <w:b w:val="false"/>
            <w:i w:val="false"/>
            <w:color w:val="000000"/>
            <w:sz w:val="22"/>
          </w:rPr>
          <w:t>633.361</w:t>
        </w:r>
      </w:hyperlink>
      <w:r>
        <w:rPr>
          <w:rFonts w:ascii="Times New Roman" w:hAnsi="Times New Roman"/>
          <w:b w:val="false"/>
          <w:i w:val="false"/>
          <w:color w:val="000000"/>
          <w:sz w:val="22"/>
        </w:rPr>
        <w:t xml:space="preserve"> and a copy of the decedent’s will in testate estates shall be filed with the first fiduciary return of income unless previously filed with the department for inheritance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decedents—ancillary administration. </w:t>
      </w:r>
      <w:r>
        <w:rPr>
          <w:rFonts w:ascii="Times New Roman" w:hAnsi="Times New Roman"/>
          <w:b w:val="false"/>
          <w:i w:val="false"/>
          <w:color w:val="000000"/>
          <w:sz w:val="22"/>
        </w:rPr>
        <w:t>If ancillary administration has been opened for the estate of a nonresident decedent, a copy of the inheritance tax return (for decedents dying before January 1, 2025) and probate inventory and a copy of the decedent’s will in testate estates shall be filed with the department, subject to the same conditions and requirements in estates of resident decedents. If ancillary administration has not been opened for a nonresident decedent with Iowa taxable income, a copy of the inventory filed in the primary estate, or the portion of the inventory listing the property generating the Iowa income and the decedent’s will in testate estates, must be filed with the department with the first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 vivos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 vivos trusts with a situs in Iowa and inter vivos trusts with a situs outside Iowa with Iowa taxable income shall submit to the department with the first fiduciary return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trust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the trust assets (those generating Iowa taxable income in case of trusts with a situs outside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estimate of the fair market value of each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trust instrument is amended or additional assets are added to the trust corpus, a copy of the amended items must be submitted to the department with the first fiduciary return of income following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Testamentary trusts. </w:t>
      </w:r>
      <w:r>
        <w:rPr>
          <w:rFonts w:ascii="Times New Roman" w:hAnsi="Times New Roman"/>
          <w:b w:val="false"/>
          <w:i w:val="false"/>
          <w:color w:val="000000"/>
          <w:sz w:val="22"/>
        </w:rPr>
        <w:t>If the estate was not reported for inheritance tax purposes, a copy of the decedent’s will and a list of assets in the trust corpus in testamentary trusts with a situs both within and without Iowa must be submitted to the department with the first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33.361.pdf" Type="http://schemas.openxmlformats.org/officeDocument/2006/relationships/hyperlink" Id="rId4"/>
    <Relationship TargetMode="External" Target="https://www.legis.iowa.gov/docs/ico/chapter/422.25.pdf" Type="http://schemas.openxmlformats.org/officeDocument/2006/relationships/hyperlink" Id="rId5"/>
    <Relationship TargetMode="External" Target="https://www.legis.iowa.gov/docs/ico/chapter/422.27.pdf" Type="http://schemas.openxmlformats.org/officeDocument/2006/relationships/hyperlink" Id="rId6"/>
    <Relationship TargetMode="External" Target="https://www.legis.iowa.gov/docs/ico/chapter/422.28.pdf" Type="http://schemas.openxmlformats.org/officeDocument/2006/relationships/hyperlink" Id="rId7"/>
    <Relationship TargetMode="External" Target="https://www.legis.iowa.gov/docs/ico/chapter/422.7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