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671—3.4</w:t>
      </w:r>
      <w:r>
        <w:rPr>
          <w:rFonts w:ascii="Times New Roman" w:hAnsi="Times New Roman"/>
          <w:b/>
          <w:i w:val="false"/>
          <w:color w:val="000000"/>
          <w:sz w:val="22"/>
        </w:rPr>
        <w:t xml:space="preserve">(8A) </w:t>
      </w:r>
      <w:r>
        <w:rPr>
          <w:rFonts w:ascii="Times New Roman" w:hAnsi="Times New Roman"/>
          <w:b/>
          <w:i w:val="false"/>
          <w:color w:val="000000"/>
          <w:sz w:val="22"/>
        </w:rPr>
        <w:t xml:space="preserve">Agency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w:t>
      </w:r>
      <w:r>
        <w:rPr>
          <w:rFonts w:ascii="Times New Roman" w:hAnsi="Times New Roman"/>
          <w:b w:val="false"/>
          <w:i w:val="false"/>
          <w:color w:val="000000"/>
          <w:sz w:val="22"/>
        </w:rPr>
        <w:t> </w:t>
      </w:r>
      <w:r>
        <w:rPr>
          <w:rFonts w:ascii="Times New Roman" w:hAnsi="Times New Roman"/>
          <w:b w:val="false"/>
          <w:i w:val="false"/>
          <w:color w:val="000000"/>
          <w:sz w:val="22"/>
        </w:rPr>
        <w:t>A record that is scheduled for permanent preservation in the state archives of Iowa shall be transferred to the state archives of Iowa in accordance with established records series retention and disposition schedules. An agency records officer shall review, sign, and submit a properly completed Transfer of Custody of State Government Records to the State Archives of Iowa form to the state archives and records bureau for approval prior to the physical transfer of records from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w:t>
      </w:r>
      <w:r>
        <w:rPr>
          <w:rFonts w:ascii="Times New Roman" w:hAnsi="Times New Roman"/>
          <w:b w:val="false"/>
          <w:i w:val="false"/>
          <w:color w:val="000000"/>
          <w:sz w:val="22"/>
        </w:rPr>
        <w:t> </w:t>
      </w:r>
      <w:r>
        <w:rPr>
          <w:rFonts w:ascii="Times New Roman" w:hAnsi="Times New Roman"/>
          <w:b w:val="false"/>
          <w:i w:val="false"/>
          <w:color w:val="000000"/>
          <w:sz w:val="22"/>
        </w:rPr>
        <w:t>A record scheduled for permanent preservation in an agency shall be retained in the agency in perpetuity. The agency shall maintain such a record in a manner that will ensure the continued availability of an accurate, authentic, and reliable record in perpetuity. The record shall be available for public inspection and copying in accordance with agency fair information practice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0400D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