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671—3.3</w:t>
      </w:r>
      <w:r>
        <w:rPr>
          <w:rFonts w:ascii="Times New Roman" w:hAnsi="Times New Roman"/>
          <w:b/>
          <w:i w:val="false"/>
          <w:color w:val="000000"/>
          <w:sz w:val="22"/>
        </w:rPr>
        <w:t xml:space="preserve">(8A) </w:t>
      </w:r>
      <w:r>
        <w:rPr>
          <w:rFonts w:ascii="Times New Roman" w:hAnsi="Times New Roman"/>
          <w:b/>
          <w:i w:val="false"/>
          <w:color w:val="000000"/>
          <w:sz w:val="22"/>
        </w:rPr>
        <w:t xml:space="preserve">Form to use. </w:t>
      </w:r>
      <w:r>
        <w:rPr>
          <w:rFonts w:ascii="Times New Roman" w:hAnsi="Times New Roman"/>
          <w:b w:val="false"/>
          <w:i w:val="false"/>
          <w:color w:val="000000"/>
          <w:sz w:val="22"/>
        </w:rPr>
        <w:t>A Transfer of Custody of State Government Records to the State Archives of Iowa form obtained from the state archives and records bureau shall be used to transfer legal and physical custody of a record from an agency to the state archives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