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671—2.2</w:t>
      </w:r>
      <w:r>
        <w:rPr>
          <w:rFonts w:ascii="Times New Roman" w:hAnsi="Times New Roman"/>
          <w:b/>
          <w:i w:val="false"/>
          <w:color w:val="000000"/>
          <w:sz w:val="22"/>
        </w:rPr>
        <w:t xml:space="preserve">(8A) </w:t>
      </w:r>
      <w:r>
        <w:rPr>
          <w:rFonts w:ascii="Times New Roman" w:hAnsi="Times New Roman"/>
          <w:b/>
          <w:i w:val="false"/>
          <w:color w:val="000000"/>
          <w:sz w:val="22"/>
        </w:rPr>
        <w:t xml:space="preserve">Form to use. </w:t>
      </w:r>
      <w:r>
        <w:rPr>
          <w:rFonts w:ascii="Times New Roman" w:hAnsi="Times New Roman"/>
          <w:b w:val="false"/>
          <w:i w:val="false"/>
          <w:color w:val="000000"/>
          <w:sz w:val="22"/>
        </w:rPr>
        <w:t>A Records Series Inventory and Retention and Disposition Schedule Form is used for the inventorying of agency records and for the development or revision of records series retention and disposition schedules. The form is available from the state archives and records bureau of the department of administrative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0399D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