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671—2.1</w:t>
      </w:r>
      <w:r>
        <w:rPr>
          <w:rFonts w:ascii="Times New Roman" w:hAnsi="Times New Roman"/>
          <w:b/>
          <w:i w:val="false"/>
          <w:color w:val="000000"/>
          <w:sz w:val="22"/>
        </w:rPr>
        <w:t xml:space="preserve">(8A) </w:t>
      </w:r>
      <w:r>
        <w:rPr>
          <w:rFonts w:ascii="Times New Roman" w:hAnsi="Times New Roman"/>
          <w:b/>
          <w:i w:val="false"/>
          <w:color w:val="000000"/>
          <w:sz w:val="22"/>
        </w:rPr>
        <w:t xml:space="preserve">Purpose. </w:t>
      </w:r>
      <w:r>
        <w:rPr>
          <w:rFonts w:ascii="Times New Roman" w:hAnsi="Times New Roman"/>
          <w:b w:val="false"/>
          <w:i w:val="false"/>
          <w:color w:val="000000"/>
          <w:sz w:val="22"/>
        </w:rPr>
        <w:t>The records series retention and disposition process is designed to evaluate records to establish appropriate periods of time for holding records prior to final disposition by destruction or permanent preservation. These records are held in office or in storage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