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671—1.5</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of the manual. </w:t>
      </w:r>
      <w:r>
        <w:rPr>
          <w:rFonts w:ascii="Times New Roman" w:hAnsi="Times New Roman"/>
          <w:b w:val="false"/>
          <w:i w:val="false"/>
          <w:color w:val="000000"/>
          <w:sz w:val="22"/>
        </w:rPr>
        <w:t>The provisions of the state records manual are applicable to all executive or legislative branch departments, offices, commissions, boards, or other units of state government unless otherwise exempted by law. However, the state records manual is not applicable to the department of transportation or agencies or institutions under the control of the state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