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671—1.4</w:t>
      </w:r>
      <w:r>
        <w:rPr>
          <w:rFonts w:ascii="Times New Roman" w:hAnsi="Times New Roman"/>
          <w:b/>
          <w:i w:val="false"/>
          <w:color w:val="000000"/>
          <w:sz w:val="22"/>
        </w:rPr>
        <w:t xml:space="preserve">(8A) </w:t>
      </w:r>
      <w:r>
        <w:rPr>
          <w:rFonts w:ascii="Times New Roman" w:hAnsi="Times New Roman"/>
          <w:b/>
          <w:i w:val="false"/>
          <w:color w:val="000000"/>
          <w:sz w:val="22"/>
        </w:rPr>
        <w:t xml:space="preserve">State records manual.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manual. </w:t>
      </w:r>
      <w:r>
        <w:rPr>
          <w:rFonts w:ascii="Times New Roman" w:hAnsi="Times New Roman"/>
          <w:b w:val="false"/>
          <w:i w:val="false"/>
          <w:color w:val="000000"/>
          <w:sz w:val="22"/>
        </w:rPr>
        <w:t xml:space="preserve">The state records manual is an interagency manual as defined by Iowa Code section </w:t>
      </w:r>
      <w:hyperlink r:id="rId4">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Content of the manual. </w:t>
      </w:r>
      <w:r>
        <w:rPr>
          <w:rFonts w:ascii="Times New Roman" w:hAnsi="Times New Roman"/>
          <w:b w:val="false"/>
          <w:i w:val="false"/>
          <w:color w:val="000000"/>
          <w:sz w:val="22"/>
        </w:rPr>
        <w:t>The commission shall, through the state archives and records bureau, create and maintain a state records manual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series retention and disposition schedules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Detailed procedures for agency interaction with the commission and the state archives and records bureau for such activities as the development and revision of records series and disposition schedules, transfer and storage of records, access and retrieval of records from storage, and destruction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Guidelines adopted by the commission to assist an agency head in implementing an efficient government records program within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