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671—1.3</w:t>
      </w:r>
      <w:r>
        <w:rPr>
          <w:rFonts w:ascii="Times New Roman" w:hAnsi="Times New Roman"/>
          <w:b/>
          <w:i w:val="false"/>
          <w:color w:val="000000"/>
          <w:sz w:val="22"/>
        </w:rPr>
        <w:t xml:space="preserve">(17A,305) </w:t>
      </w:r>
      <w:r>
        <w:rPr>
          <w:rFonts w:ascii="Times New Roman" w:hAnsi="Times New Roman"/>
          <w:b/>
          <w:i w:val="false"/>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records commission. </w:t>
      </w:r>
      <w:r>
        <w:rPr>
          <w:rFonts w:ascii="Times New Roman" w:hAnsi="Times New Roman"/>
          <w:b w:val="false"/>
          <w:i w:val="false"/>
          <w:color w:val="000000"/>
          <w:sz w:val="22"/>
        </w:rPr>
        <w:t xml:space="preserve">The responsibilities of the commission are the same as defined in Iowa Code section </w:t>
      </w:r>
      <w:hyperlink r:id="rId4">
        <w:r>
          <w:rPr>
            <w:rStyle w:val="Hyperlink"/>
            <w:rFonts w:ascii="Times New Roman" w:hAnsi="Times New Roman"/>
            <w:b w:val="false"/>
            <w:i w:val="false"/>
            <w:color w:val="000000"/>
            <w:sz w:val="22"/>
          </w:rPr>
          <w:t>8A.608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Department of administrative services. </w:t>
      </w:r>
      <w:r>
        <w:rPr>
          <w:rFonts w:ascii="Times New Roman" w:hAnsi="Times New Roman"/>
          <w:b w:val="false"/>
          <w:i w:val="false"/>
          <w:color w:val="000000"/>
          <w:sz w:val="22"/>
        </w:rPr>
        <w:t xml:space="preserve">The responsibilities of the department are the same as defined in Iowa Code section </w:t>
      </w:r>
      <w:hyperlink r:id="rId5">
        <w:r>
          <w:rPr>
            <w:rStyle w:val="Hyperlink"/>
            <w:rFonts w:ascii="Times New Roman" w:hAnsi="Times New Roman"/>
            <w:b w:val="false"/>
            <w:i w:val="false"/>
            <w:color w:val="000000"/>
            <w:sz w:val="22"/>
          </w:rPr>
          <w:t>8A.609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Agency head. </w:t>
      </w:r>
      <w:r>
        <w:rPr>
          <w:rFonts w:ascii="Times New Roman" w:hAnsi="Times New Roman"/>
          <w:b w:val="false"/>
          <w:i w:val="false"/>
          <w:color w:val="000000"/>
          <w:sz w:val="22"/>
        </w:rPr>
        <w:t xml:space="preserve">In addition to the responsibilities set forth in Iowa Code section </w:t>
      </w:r>
      <w:hyperlink r:id="rId6">
        <w:r>
          <w:rPr>
            <w:rStyle w:val="Hyperlink"/>
            <w:rFonts w:ascii="Times New Roman" w:hAnsi="Times New Roman"/>
            <w:b w:val="false"/>
            <w:i w:val="false"/>
            <w:color w:val="000000"/>
            <w:sz w:val="22"/>
          </w:rPr>
          <w:t>8A.610</w:t>
        </w:r>
      </w:hyperlink>
      <w:r>
        <w:rPr>
          <w:rFonts w:ascii="Times New Roman" w:hAnsi="Times New Roman"/>
          <w:b w:val="false"/>
          <w:i w:val="false"/>
          <w:color w:val="000000"/>
          <w:sz w:val="22"/>
        </w:rPr>
        <w:t>, an agency head will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one or more records officers to coordinate the records program or programs within the agency and to serve as liaisons to the state archives and records bureau. An agency head shall document an appointment in writing to the state archives and records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or cause to be maintained complete and accurate records documenting the agency’s implementation of the state of Iowa records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secure, environmentally appropriate storage areas for all records in the physical custody of the agency and provide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legal custody of all agency records stored in agency offsite storage and provide public access to those records in accordance with the agency’s fair information practices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legal custody of records that are transferred to the state archives of Iowa in accordance with Iowa Code section </w:t>
      </w:r>
      <w:hyperlink r:id="rId7">
        <w:r>
          <w:rPr>
            <w:rStyle w:val="Hyperlink"/>
            <w:rFonts w:ascii="Times New Roman" w:hAnsi="Times New Roman"/>
            <w:b w:val="false"/>
            <w:i w:val="false"/>
            <w:color w:val="000000"/>
            <w:sz w:val="22"/>
          </w:rPr>
          <w:t>8A.610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608.pdf" Type="http://schemas.openxmlformats.org/officeDocument/2006/relationships/hyperlink" Id="rId4"/>
    <Relationship TargetMode="External" Target="https://www.legis.iowa.gov/docs/ico/chapter/8A.609.pdf" Type="http://schemas.openxmlformats.org/officeDocument/2006/relationships/hyperlink" Id="rId5"/>
    <Relationship TargetMode="External" Target="https://www.legis.iowa.gov/docs/ico/chapter/8A.610.pdf" Type="http://schemas.openxmlformats.org/officeDocument/2006/relationships/hyperlink" Id="rId6"/>
    <Relationship TargetMode="External" Target="https://www.legis.iowa.gov/docs/ico/chapter/8A.6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