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671—1.2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found in Iowa Code chapter </w:t>
      </w:r>
      <w:hyperlink r:id="rId4">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and in particular, Iowa Code section </w:t>
      </w:r>
      <w:hyperlink r:id="rId5">
        <w:r>
          <w:rPr>
            <w:rStyle w:val="Hyperlink"/>
            <w:rFonts w:ascii="Times New Roman" w:hAnsi="Times New Roman"/>
            <w:b w:val="false"/>
            <w:i w:val="false"/>
            <w:color w:val="000000"/>
            <w:sz w:val="22"/>
          </w:rPr>
          <w:t>8A.602</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“Non-record materials”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documents and informational materials that do not meet the statutory definition of a record in Iowa Code section </w:t>
      </w:r>
      <w:hyperlink r:id="rId6">
        <w:r>
          <w:rPr>
            <w:rStyle w:val="Hyperlink"/>
            <w:rFonts w:ascii="Times New Roman" w:hAnsi="Times New Roman"/>
            <w:b w:val="false"/>
            <w:i w:val="false"/>
            <w:color w:val="000000"/>
            <w:sz w:val="22"/>
          </w:rPr>
          <w:t>8A.602(9)</w:t>
        </w:r>
      </w:hyperlink>
      <w:r>
        <w:rPr>
          <w:rFonts w:ascii="Times New Roman" w:hAnsi="Times New Roman"/>
          <w:b w:val="false"/>
          <w:i w:val="false"/>
          <w:color w:val="000000"/>
          <w:sz w:val="22"/>
        </w:rPr>
        <w:t xml:space="preserve"> or that are excluded from the definition. Non-record materials include library and museum material made or acquired and preserved solely for reference or exhibition purposes, stocks of publications and unprocessed forms, and extra copies of documents made, acquired, or received only for convenience or reference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“Office of record”</w:t>
      </w:r>
      <w:r>
        <w:rPr>
          <w:rFonts w:ascii="Times New Roman" w:hAnsi="Times New Roman"/>
          <w:b w:val="false"/>
          <w:i w:val="false"/>
          <w:color w:val="000000"/>
          <w:sz w:val="22"/>
        </w:rPr>
        <w:t> </w:t>
      </w:r>
      <w:r>
        <w:rPr>
          <w:rFonts w:ascii="Times New Roman" w:hAnsi="Times New Roman"/>
          <w:b w:val="false"/>
          <w:i w:val="false"/>
          <w:color w:val="000000"/>
          <w:sz w:val="22"/>
        </w:rPr>
        <w:t>means the agency in which a record is created, produced, executed, or received in connection with official business of that agency. The office of record is responsible for maintenance and disposition of records in accordance with approved records series retention and disposition schedules.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“Reference copy”</w:t>
      </w:r>
      <w:r>
        <w:rPr>
          <w:rFonts w:ascii="Times New Roman" w:hAnsi="Times New Roman"/>
          <w:b w:val="false"/>
          <w:i w:val="false"/>
          <w:color w:val="000000"/>
          <w:sz w:val="22"/>
        </w:rPr>
        <w:t> </w:t>
      </w:r>
      <w:r>
        <w:rPr>
          <w:rFonts w:ascii="Times New Roman" w:hAnsi="Times New Roman"/>
          <w:b w:val="false"/>
          <w:i w:val="false"/>
          <w:color w:val="000000"/>
          <w:sz w:val="22"/>
        </w:rPr>
        <w:t>is a copy of a record kept for easy access to the information the record contains. A reference copy of a record may be distributed to make recipients aware of the content of the record but not to direct the recipient to take action on a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“Retention”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“retention period”</w:t>
      </w:r>
      <w:r>
        <w:rPr>
          <w:rFonts w:ascii="Times New Roman" w:hAnsi="Times New Roman"/>
          <w:b w:val="false"/>
          <w:i w:val="false"/>
          <w:color w:val="000000"/>
          <w:sz w:val="22"/>
        </w:rPr>
        <w:t> </w:t>
      </w:r>
      <w:r>
        <w:rPr>
          <w:rFonts w:ascii="Times New Roman" w:hAnsi="Times New Roman"/>
          <w:b w:val="false"/>
          <w:i w:val="false"/>
          <w:color w:val="000000"/>
          <w:sz w:val="22"/>
        </w:rPr>
        <w:t>is the minimum length of scheduled time a record must be kept (either in the office or in offsite storage) because it is needed for ongoing business, to document an action, or for statutory reasons.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0398D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A.pdf" Type="http://schemas.openxmlformats.org/officeDocument/2006/relationships/hyperlink" Id="rId4"/>
    <Relationship TargetMode="External" Target="https://www.legis.iowa.gov/docs/ico/chapter/8A.602.pdf" Type="http://schemas.openxmlformats.org/officeDocument/2006/relationships/hyperlink" Id="rId5"/>
    <Relationship TargetMode="External" Target="https://www.legis.iowa.gov/docs/ico/chapter/8A.602.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