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671—1.1</w:t>
      </w:r>
      <w:r>
        <w:rPr>
          <w:rFonts w:ascii="Times New Roman" w:hAnsi="Times New Roman"/>
          <w:b/>
          <w:i w:val="false"/>
          <w:color w:val="000000"/>
          <w:sz w:val="22"/>
        </w:rPr>
        <w:t xml:space="preserve">(17A,8A)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State archives and records Act. </w:t>
      </w:r>
      <w:r>
        <w:rPr>
          <w:rFonts w:ascii="Times New Roman" w:hAnsi="Times New Roman"/>
          <w:b w:val="false"/>
          <w:i w:val="false"/>
          <w:color w:val="000000"/>
          <w:sz w:val="22"/>
        </w:rPr>
        <w:t>This chapter provides an overview of the organization, responsibilities, definitions, and records manual details under the purview of the state records commission within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Communication with the state records commission may be established through the State Archives and Records Bureau, Department of Administrative Services, State Historical Building, 600 East Locust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Meetings and membership. </w:t>
      </w:r>
      <w:r>
        <w:rPr>
          <w:rFonts w:ascii="Times New Roman" w:hAnsi="Times New Roman"/>
          <w:b w:val="false"/>
          <w:i w:val="false"/>
          <w:color w:val="000000"/>
          <w:sz w:val="22"/>
        </w:rPr>
        <w:t xml:space="preserve">Membership of the state records commission is outlined in Iowa Code section </w:t>
      </w:r>
      <w:hyperlink r:id="rId4">
        <w:r>
          <w:rPr>
            <w:rStyle w:val="Hyperlink"/>
            <w:rFonts w:ascii="Times New Roman" w:hAnsi="Times New Roman"/>
            <w:b w:val="false"/>
            <w:i w:val="false"/>
            <w:color w:val="000000"/>
            <w:sz w:val="22"/>
          </w:rPr>
          <w:t>8A.603</w:t>
        </w:r>
      </w:hyperlink>
      <w:r>
        <w:rPr>
          <w:rFonts w:ascii="Times New Roman" w:hAnsi="Times New Roman"/>
          <w:b w:val="false"/>
          <w:i w:val="false"/>
          <w:color w:val="000000"/>
          <w:sz w:val="22"/>
        </w:rPr>
        <w:t xml:space="preserve">. The state records commission chairperson shall be elected biennially from the membership. Iowa Code section </w:t>
      </w:r>
      <w:hyperlink r:id="rId5">
        <w:r>
          <w:rPr>
            <w:rStyle w:val="Hyperlink"/>
            <w:rFonts w:ascii="Times New Roman" w:hAnsi="Times New Roman"/>
            <w:b w:val="false"/>
            <w:i w:val="false"/>
            <w:color w:val="000000"/>
            <w:sz w:val="22"/>
          </w:rPr>
          <w:t>8A.606</w:t>
        </w:r>
      </w:hyperlink>
      <w:r>
        <w:rPr>
          <w:rFonts w:ascii="Times New Roman" w:hAnsi="Times New Roman"/>
          <w:b w:val="false"/>
          <w:i w:val="false"/>
          <w:color w:val="000000"/>
          <w:sz w:val="22"/>
        </w:rPr>
        <w:t xml:space="preserve"> references meetings for the commission. In accordance with state open meeting laws, agendas for meetings will be posted at the state historical building and on the state public meeting calendar. Two-thirds of the commission membership shall be a quorum for the purpose of conducting business. Actions of the commission shall be by simple majority of members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603.pdf" Type="http://schemas.openxmlformats.org/officeDocument/2006/relationships/hyperlink" Id="rId4"/>
    <Relationship TargetMode="External" Target="https://www.legis.iowa.gov/docs/ico/chapter/8A.6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