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641—37.8</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registrations.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Any persons applying for a permit to operate ionizing radiation producing machines or administer radioactive materials shall comply with the requirements of </w:t>
      </w:r>
      <w:hyperlink r:id="rId4">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persons applying for a radioactive materials license shall comply with the licensing requirements of </w:t>
      </w:r>
      <w:hyperlink r:id="rId5">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and the requirements of this chapter.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All mammography facilities shall comply with the registration requirements of </w:t>
      </w:r>
      <w:hyperlink r:id="rId6">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equipment that produces radiation incidental to its operation for other purposes, provided the dose equivalent rate averaged over an area of 10 square centimeters does not exceed 0.5 millirem (5 μSv) per hour at 5 centimeters from any accessible surface of such equipment. This exemption does not apply to the production, testing, or factory servicing of such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Radiation machines while in transit or temporarily stored as part of the transit process. This exemption does not apply to the providers of radiation machines for mobile services. Facilities that have placed all radiation machines in storage, including on-site storage, and have notified the department in writing are exempt. This exemption is void if any radiation machine is energized and produces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Domestic television receivers.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Inoperable radiation machines. For the purposes of this chapter, “inoperable radiation machine” means a radiation machine that cannot be energized when connected to a power supply without repair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Financial institutions that take possession of radiation machines as the result of foreclosure, bankruptcy, or other default of payment, to the extent that the machines are demonstrated to be operable for the sole purpose of sale, lease,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registrant shall prohibit any person from furnishing radiation machine servicing or services as described in paragraph </w:t>
      </w:r>
      <w:hyperlink r:id="rId7">
        <w:r>
          <w:rPr>
            <w:rStyle w:val="Hyperlink"/>
            <w:rFonts w:ascii="Times New Roman" w:hAnsi="Times New Roman"/>
            <w:b w:val="false"/>
            <w:i w:val="false"/>
            <w:color w:val="000000"/>
            <w:sz w:val="22"/>
          </w:rPr>
          <w:t>37.8(3)</w:t>
        </w:r>
      </w:hyperlink>
      <w:r>
        <w:rPr>
          <w:rFonts w:ascii="Times New Roman" w:hAnsi="Times New Roman"/>
          <w:b w:val="false"/>
          <w:i/>
          <w:color w:val="000000"/>
          <w:sz w:val="22"/>
        </w:rPr>
        <w:t>“c”</w:t>
      </w:r>
      <w:r>
        <w:rPr>
          <w:rFonts w:ascii="Times New Roman" w:hAnsi="Times New Roman"/>
          <w:b w:val="false"/>
          <w:i w:val="false"/>
          <w:color w:val="000000"/>
          <w:sz w:val="22"/>
        </w:rPr>
        <w:t xml:space="preserve"> to the registrant’s radiation machine facility until such person provides evidence that the person has been registered with the department as a provider of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for radiation machine facilities. </w:t>
      </w:r>
      <w:r>
        <w:rPr>
          <w:rFonts w:ascii="Times New Roman" w:hAnsi="Times New Roman"/>
          <w:b w:val="false"/>
          <w:i w:val="false"/>
          <w:color w:val="000000"/>
          <w:sz w:val="22"/>
        </w:rPr>
        <w:t>Each person having a radiation machine facility shall apply for registration of such facility with the department prior to the operation of a radiation machine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registration shall be submitted to the department through the online licensing portal using the application furnished by the department.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specified in rule </w:t>
      </w:r>
      <w:hyperlink r:id="rId8">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designate on the application form the name of an individual who will be responsible for radiation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radiation machine registrants shall designate an individual who has authority to make decisions and conduct assessments related to radiation protection and regulatory compliance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Healing arts. A practitioner licensed by the respective state board of examiners and responsible for directing the operation of radiation machines shall be designated on each healing arts application. The signature of the administrator, president, or chief executive officer will be accepted in lieu of a licensed practitioner’s signature if the facility has more than one licensed practitioner (for example, hospitals, large clinics, or multipractitioner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37.8(3)</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for radiation machine service providers. </w:t>
      </w:r>
      <w:r>
        <w:rPr>
          <w:rFonts w:ascii="Times New Roman" w:hAnsi="Times New Roman"/>
          <w:b w:val="false"/>
          <w:i w:val="false"/>
          <w:color w:val="000000"/>
          <w:sz w:val="22"/>
        </w:rPr>
        <w:t>Each person who is engaged in the business of installing or offering to install radiation machines, or providing or offering to provide radiation machine servicing or services, within this state shall apply for registration with the department prior to installing, providing, or offering to provide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Registration shall be submitted to the department through the online licensing portal using the application furnished by the department.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specified in rule </w:t>
      </w:r>
      <w:hyperlink r:id="rId9">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person applying for registration as a service provider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person has read and understands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for which he or she is applying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training and experience that qualify the person to discharge the services for which the person is applying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of measurement instrument to be used, frequency of calibration, and source of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type of personnel dosimeters supplied, frequency of reading, and replacement or exchange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Services requiring an application. </w:t>
      </w:r>
      <w:r>
        <w:rPr>
          <w:rFonts w:ascii="Times New Roman" w:hAnsi="Times New Roman"/>
          <w:b w:val="false"/>
          <w:i w:val="false"/>
          <w:color w:val="000000"/>
          <w:sz w:val="22"/>
        </w:rPr>
        <w:t>Services requiring registration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Installation and servicing of radiation machines and associated radiation machine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Calibration of radiation machines or radiation measurement instruments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or health physics consultations or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Personnel dosimetry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Shielding design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Processor or processor servicing,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Calibration and compliance surveys of external beam radiation therapy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Qualified expert services for CT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Qualified expert services for e-brachytherapy;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Qualified expert services for therapeutic machines.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37.8(4)</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for qualified experts for services. </w:t>
      </w:r>
      <w:r>
        <w:rPr>
          <w:rFonts w:ascii="Times New Roman" w:hAnsi="Times New Roman"/>
          <w:b w:val="false"/>
          <w:i w:val="false"/>
          <w:color w:val="000000"/>
          <w:sz w:val="22"/>
        </w:rPr>
        <w:t>A qualified expert may perform services after registering as a radiation machines service provider, whether as an individual, as part of a corporation, or as any other entity included in the definition of “person”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qualified expert must possess the necessary knowledge and training to measure ionizing radiation, evaluate safety practices, and provide guidance on radiation protection. Examples of individuals who may qualify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certified in the appropriate field by the American Board of Radiology, American Board of Medical Physics, or American Board of Health Physics or those with equivalent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calibration of radiation therapy equipment, persons who, in addition to the qualifications above, have training and experience in the clinical applications of radiation physics to radiation therapy, including individuals certified in therapeutic radiological physics, X-ray and radium physics by the American Board of Radiology, or those with equivalent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qualified expert or registered radiation machines service provider must maintain documentation demonstrating that the training requirements for the services provided under this chapter have been met. This documentation must be retained and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37.8(5)</w:t>
      </w:r>
      <w:r>
        <w:rPr>
          <w:rFonts w:ascii="Times New Roman" w:hAnsi="Times New Roman"/>
          <w:b w:val="false"/>
          <w:i w:val="false"/>
          <w:color w:val="000000"/>
          <w:sz w:val="22"/>
        </w:rPr>
        <w:t> </w:t>
      </w:r>
      <w:r>
        <w:rPr>
          <w:rFonts w:ascii="Times New Roman" w:hAnsi="Times New Roman"/>
          <w:b w:val="false"/>
          <w:i/>
          <w:color w:val="000000"/>
          <w:sz w:val="22"/>
        </w:rPr>
        <w:t xml:space="preserve">Stated notice. </w:t>
      </w:r>
      <w:r>
        <w:rPr>
          <w:rFonts w:ascii="Times New Roman" w:hAnsi="Times New Roman"/>
          <w:b w:val="false"/>
          <w:i w:val="false"/>
          <w:color w:val="000000"/>
          <w:sz w:val="22"/>
        </w:rPr>
        <w:t>No persons shall perform services that are not specifically stated on the notice of registration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registration may be revoked for violating or causing a facility to violate any of the rules in </w:t>
      </w:r>
      <w:hyperlink r:id="rId10">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therapy physicists providing services for therapeutic radiation machines must provide proof that the training requirements of rule </w:t>
      </w:r>
      <w:hyperlink r:id="rId12">
        <w:r>
          <w:rPr>
            <w:rStyle w:val="Hyperlink"/>
            <w:rFonts w:ascii="Times New Roman" w:hAnsi="Times New Roman"/>
            <w:b w:val="false"/>
            <w:i w:val="false"/>
            <w:color w:val="000000"/>
            <w:sz w:val="22"/>
          </w:rPr>
          <w:t>641—42.6</w:t>
        </w:r>
      </w:hyperlink>
      <w:r>
        <w:rPr>
          <w:rFonts w:ascii="Times New Roman" w:hAnsi="Times New Roman"/>
          <w:b w:val="false"/>
          <w:i w:val="false"/>
          <w:color w:val="000000"/>
          <w:sz w:val="22"/>
        </w:rPr>
        <w:t>(136C) have been met at the time of the application and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physicists providing services for mammography radiation machines must provide proof that the training requirements of </w:t>
      </w:r>
      <w:hyperlink r:id="rId13">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have been met at the time of the application and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37.8(6)</w:t>
      </w:r>
      <w:r>
        <w:rPr>
          <w:rFonts w:ascii="Times New Roman" w:hAnsi="Times New Roman"/>
          <w:b w:val="false"/>
          <w:i w:val="false"/>
          <w:color w:val="000000"/>
          <w:sz w:val="22"/>
        </w:rPr>
        <w:t> </w:t>
      </w:r>
      <w:r>
        <w:rPr>
          <w:rFonts w:ascii="Times New Roman" w:hAnsi="Times New Roman"/>
          <w:b w:val="false"/>
          <w:i/>
          <w:color w:val="000000"/>
          <w:sz w:val="22"/>
        </w:rPr>
        <w:t xml:space="preserve">Issuance of notice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an applicant meets the requirements of this chapter, the department will issue a notice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incorporate in the notice of registration at the time of issuance or thereafter by appropriate rule, regulation, or order such additional requirements and conditions with respect to the registrant’s receipt, possession, use, and transfer of radiation machines as it deems appropriate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37.8(7)</w:t>
      </w:r>
      <w:r>
        <w:rPr>
          <w:rFonts w:ascii="Times New Roman" w:hAnsi="Times New Roman"/>
          <w:b w:val="false"/>
          <w:i w:val="false"/>
          <w:color w:val="000000"/>
          <w:sz w:val="22"/>
        </w:rPr>
        <w:t> </w:t>
      </w:r>
      <w:r>
        <w:rPr>
          <w:rFonts w:ascii="Times New Roman" w:hAnsi="Times New Roman"/>
          <w:b w:val="false"/>
          <w:i/>
          <w:color w:val="000000"/>
          <w:sz w:val="22"/>
        </w:rPr>
        <w:t xml:space="preserve">Expiration of notice of registration. </w:t>
      </w:r>
      <w:r>
        <w:rPr>
          <w:rFonts w:ascii="Times New Roman" w:hAnsi="Times New Roman"/>
          <w:b w:val="false"/>
          <w:i w:val="false"/>
          <w:color w:val="000000"/>
          <w:sz w:val="22"/>
        </w:rPr>
        <w:t>Each notice of registration will expire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37.8(8)</w:t>
      </w:r>
      <w:r>
        <w:rPr>
          <w:rFonts w:ascii="Times New Roman" w:hAnsi="Times New Roman"/>
          <w:b w:val="false"/>
          <w:i w:val="false"/>
          <w:color w:val="000000"/>
          <w:sz w:val="22"/>
        </w:rPr>
        <w:t> </w:t>
      </w:r>
      <w:r>
        <w:rPr>
          <w:rFonts w:ascii="Times New Roman" w:hAnsi="Times New Roman"/>
          <w:b w:val="false"/>
          <w:i/>
          <w:color w:val="000000"/>
          <w:sz w:val="22"/>
        </w:rPr>
        <w:t xml:space="preserve">Renewal of notice of registration. </w:t>
      </w:r>
      <w:r>
        <w:rPr>
          <w:rFonts w:ascii="Times New Roman" w:hAnsi="Times New Roman"/>
          <w:b w:val="false"/>
          <w:i w:val="false"/>
          <w:color w:val="000000"/>
          <w:sz w:val="22"/>
        </w:rPr>
        <w:t>An application for renewal of registration shall be submitted annually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37.8(9)</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of registration shall be submitted to the department when a registration has not been renewed within 30 days following the expiration date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registration fee, as specified in Iowa Code section </w:t>
      </w:r>
      <w:hyperlink r:id="rId14">
        <w:r>
          <w:rPr>
            <w:rStyle w:val="Hyperlink"/>
            <w:rFonts w:ascii="Times New Roman" w:hAnsi="Times New Roman"/>
            <w:b w:val="false"/>
            <w:i w:val="false"/>
            <w:color w:val="000000"/>
            <w:sz w:val="22"/>
          </w:rPr>
          <w:t>39.9</w:t>
        </w:r>
      </w:hyperlink>
      <w:r>
        <w:rPr>
          <w:rFonts w:ascii="Times New Roman" w:hAnsi="Times New Roman"/>
          <w:b w:val="false"/>
          <w:i w:val="false"/>
          <w:color w:val="000000"/>
          <w:sz w:val="22"/>
        </w:rPr>
        <w:t xml:space="preserve">, shall be submitted to the department at the time of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reinstatement fee of $100 shall be submitted to the department at the time of reinstatement, in addition to the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37.8(10)</w:t>
      </w:r>
      <w:r>
        <w:rPr>
          <w:rFonts w:ascii="Times New Roman" w:hAnsi="Times New Roman"/>
          <w:b w:val="false"/>
          <w:i w:val="false"/>
          <w:color w:val="000000"/>
          <w:sz w:val="22"/>
        </w:rPr>
        <w:t> </w:t>
      </w:r>
      <w:r>
        <w:rPr>
          <w:rFonts w:ascii="Times New Roman" w:hAnsi="Times New Roman"/>
          <w:b w:val="false"/>
          <w:i/>
          <w:color w:val="000000"/>
          <w:sz w:val="22"/>
        </w:rPr>
        <w:t xml:space="preserve">Report of changes. </w:t>
      </w:r>
      <w:r>
        <w:rPr>
          <w:rFonts w:ascii="Times New Roman" w:hAnsi="Times New Roman"/>
          <w:b w:val="false"/>
          <w:i w:val="false"/>
          <w:color w:val="000000"/>
          <w:sz w:val="22"/>
        </w:rPr>
        <w:t>The registrant shall notify the department in writing before making any change that would render the information contained in the application for registration or the notice of registration no longer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37.8(11)</w:t>
      </w:r>
      <w:r>
        <w:rPr>
          <w:rFonts w:ascii="Times New Roman" w:hAnsi="Times New Roman"/>
          <w:b w:val="false"/>
          <w:i w:val="false"/>
          <w:color w:val="000000"/>
          <w:sz w:val="22"/>
        </w:rPr>
        <w:t> </w:t>
      </w:r>
      <w:r>
        <w:rPr>
          <w:rFonts w:ascii="Times New Roman" w:hAnsi="Times New Roman"/>
          <w:b w:val="false"/>
          <w:i/>
          <w:color w:val="000000"/>
          <w:sz w:val="22"/>
        </w:rPr>
        <w:t xml:space="preserve">Approval not implied. </w:t>
      </w:r>
      <w:r>
        <w:rPr>
          <w:rFonts w:ascii="Times New Roman" w:hAnsi="Times New Roman"/>
          <w:b w:val="false"/>
          <w:i w:val="false"/>
          <w:color w:val="000000"/>
          <w:sz w:val="22"/>
        </w:rPr>
        <w:t>No person, in any advertisement, shall refer to the fact that the person or the person’s facility is registered with the department pursuant to the provisions of this chapter, and no person shall state or imply that any activity under such registration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37.8(12)</w:t>
      </w:r>
      <w:r>
        <w:rPr>
          <w:rFonts w:ascii="Times New Roman" w:hAnsi="Times New Roman"/>
          <w:b w:val="false"/>
          <w:i w:val="false"/>
          <w:color w:val="000000"/>
          <w:sz w:val="22"/>
        </w:rPr>
        <w:t> </w:t>
      </w:r>
      <w:r>
        <w:rPr>
          <w:rFonts w:ascii="Times New Roman" w:hAnsi="Times New Roman"/>
          <w:b w:val="false"/>
          <w:i/>
          <w:color w:val="000000"/>
          <w:sz w:val="22"/>
        </w:rPr>
        <w:t xml:space="preserve">Assembler and transfer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registered under the requirements of this chapter who sells, leases, transfers, lends, disposes of, assembles, or installs radiation machines in this state shall notify the department in writing within 15 days following the completion of the service and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persons who have received these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model, and serial number of each radiation machine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of transfer of each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make, sell, lease, transfer, lend, assemble, or install radiation machines or the supplies used in connection with such machines unless such supplies and equipment, when properly placed in operation and used, meet the requirements of 641—Chapters </w:t>
      </w:r>
      <w:hyperlink r:id="rId15">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diagnostic X-ray systems that contain certified components, a copy of the assembler’s report prepared in accordance with the requirements of the federal diagnostic X-ray standard (</w:t>
      </w:r>
      <w:r>
        <w:rPr>
          <w:rFonts w:ascii="Times New Roman" w:hAnsi="Times New Roman"/>
          <w:b w:val="false"/>
          <w:i w:val="false"/>
          <w:color w:val="000000"/>
          <w:sz w:val="22"/>
        </w:rPr>
        <w:t>21 CFR 1020.30(d)</w:t>
      </w:r>
      <w:r>
        <w:rPr>
          <w:rFonts w:ascii="Times New Roman" w:hAnsi="Times New Roman"/>
          <w:b w:val="false"/>
          <w:i w:val="false"/>
          <w:color w:val="000000"/>
          <w:sz w:val="22"/>
        </w:rPr>
        <w:t>) shall be submitted to the department within 15 days following completion of the assembly. Such report shall suffice in lieu of any other report by the assembler.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38.pdf" Type="http://schemas.openxmlformats.org/officeDocument/2006/relationships/hyperlink" Id="rId4"/>
    <Relationship TargetMode="External" Target="https://www.legis.iowa.gov/docs/iac/chapter/641.39.pdf" Type="http://schemas.openxmlformats.org/officeDocument/2006/relationships/hyperlink" Id="rId5"/>
    <Relationship TargetMode="External" Target="https://www.legis.iowa.gov/docs/iac/chapter/641.41.pdf" Type="http://schemas.openxmlformats.org/officeDocument/2006/relationships/hyperlink" Id="rId6"/>
    <Relationship TargetMode="External" Target="https://www.legis.iowa.gov/docs/iac/rule/641.37.8.pdf" Type="http://schemas.openxmlformats.org/officeDocument/2006/relationships/hyperlink" Id="rId7"/>
    <Relationship TargetMode="External" Target="https://www.legis.iowa.gov/docs/iac/rule/641.37.9.pdf" Type="http://schemas.openxmlformats.org/officeDocument/2006/relationships/hyperlink" Id="rId8"/>
    <Relationship TargetMode="External" Target="https://www.legis.iowa.gov/docs/iac/rule/641.37.9.pdf" Type="http://schemas.openxmlformats.org/officeDocument/2006/relationships/hyperlink" Id="rId9"/>
    <Relationship TargetMode="External" Target="https://www.legis.iowa.gov/docs/iac/chapter/641.38.pdf" Type="http://schemas.openxmlformats.org/officeDocument/2006/relationships/hyperlink" Id="rId10"/>
    <Relationship TargetMode="External" Target="https://www.legis.iowa.gov/docs/iac/chapter/641.42.pdf" Type="http://schemas.openxmlformats.org/officeDocument/2006/relationships/hyperlink" Id="rId11"/>
    <Relationship TargetMode="External" Target="https://www.legis.iowa.gov/docs/iac/rule/641.42.6.pdf" Type="http://schemas.openxmlformats.org/officeDocument/2006/relationships/hyperlink" Id="rId12"/>
    <Relationship TargetMode="External" Target="https://www.legis.iowa.gov/docs/iac/chapter/641.41.pdf" Type="http://schemas.openxmlformats.org/officeDocument/2006/relationships/hyperlink" Id="rId13"/>
    <Relationship TargetMode="External" Target="https://www.legis.iowa.gov/docs/ico/chapter/39.9.pdf" Type="http://schemas.openxmlformats.org/officeDocument/2006/relationships/hyperlink" Id="rId14"/>
    <Relationship TargetMode="External" Target="https://www.legis.iowa.gov/docs/iac/chapter/641.38.pdf" Type="http://schemas.openxmlformats.org/officeDocument/2006/relationships/hyperlink" Id="rId15"/>
    <Relationship TargetMode="External" Target="https://www.legis.iowa.gov/docs/iac/chapter/641.39.pdf" Type="http://schemas.openxmlformats.org/officeDocument/2006/relationships/hyperlink" Id="rId16"/>
    <Relationship TargetMode="External" Target="https://www.legis.iowa.gov/docs/iac/chapter/641.40.pdf" Type="http://schemas.openxmlformats.org/officeDocument/2006/relationships/hyperlink" Id="rId17"/>
    <Relationship TargetMode="External" Target="https://www.legis.iowa.gov/docs/iac/chapter/641.4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