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641—37.5</w:t>
      </w:r>
      <w:r>
        <w:rPr>
          <w:rFonts w:ascii="Times New Roman" w:hAnsi="Times New Roman"/>
          <w:b/>
          <w:i w:val="false"/>
          <w:color w:val="000000"/>
          <w:sz w:val="22"/>
        </w:rPr>
        <w:t xml:space="preserve">(136C) </w:t>
      </w:r>
      <w:r>
        <w:rPr>
          <w:rFonts w:ascii="Times New Roman" w:hAnsi="Times New Roman"/>
          <w:b/>
          <w:i w:val="false"/>
          <w:color w:val="000000"/>
          <w:sz w:val="22"/>
        </w:rPr>
        <w:t xml:space="preserve">Units of exposure and dose. </w:t>
      </w:r>
    </w:p>
    <w:p>
      <w:pPr>
        <w:spacing w:before="0" w:after="0"/>
        <w:ind w:left="120"/>
        <w:jc w:val="both"/>
      </w:pPr>
      <w:r>
        <w:rPr>
          <w:rFonts w:ascii="Times New Roman" w:hAnsi="Times New Roman"/>
          <w:b/>
          <w:i w:val="false"/>
          <w:color w:val="000000"/>
          <w:sz w:val="22"/>
        </w:rPr>
        <w:t>37.5(1)</w:t>
      </w:r>
      <w:r>
        <w:rPr>
          <w:rFonts w:ascii="Times New Roman" w:hAnsi="Times New Roman"/>
          <w:b w:val="false"/>
          <w:i w:val="false"/>
          <w:color w:val="000000"/>
          <w:sz w:val="22"/>
        </w:rPr>
        <w:t> </w:t>
      </w:r>
      <w:r>
        <w:rPr>
          <w:rFonts w:ascii="Times New Roman" w:hAnsi="Times New Roman"/>
          <w:b w:val="false"/>
          <w:i w:val="false"/>
          <w:color w:val="000000"/>
          <w:sz w:val="22"/>
        </w:rPr>
        <w:t>As used in these rules, the quality factors for converting absorbed dose to dose equivalent are shown in Table I.</w:t>
      </w:r>
    </w:p>
    <w:p>
      <w:pPr>
        <w:spacing w:before="60" w:after="0"/>
        <w:ind w:left="120"/>
        <w:jc w:val="center"/>
      </w:pPr>
      <w:r>
        <w:rPr>
          <w:rFonts w:ascii="Times New Roman" w:hAnsi="Times New Roman"/>
          <w:b w:val="false"/>
          <w:i w:val="false"/>
          <w:color w:val="000000"/>
          <w:sz w:val="22"/>
        </w:rPr>
        <w:t>TABLE I</w:t>
      </w:r>
    </w:p>
    <w:p>
      <w:pPr>
        <w:spacing w:before="60" w:after="0"/>
        <w:ind w:left="120"/>
        <w:jc w:val="center"/>
      </w:pPr>
      <w:r>
        <w:rPr>
          <w:rFonts w:ascii="Times New Roman" w:hAnsi="Times New Roman"/>
          <w:b w:val="false"/>
          <w:i w:val="false"/>
          <w:color w:val="000000"/>
          <w:sz w:val="22"/>
        </w:rPr>
        <w:t>QUALITY FACTORS AND ABSORBED DOSE EQUIVALENCIES</w:t>
      </w:r>
    </w:p>
    <w:tbl>
      <w:tblPr>
        <w:tblW w:w="0" w:type="auto"/>
        <w:tblCellSpacing w:w="0" w:type="auto"/>
        <w:tblBorders>
          <w:top w:val="none"/>
          <w:left w:val="none"/>
          <w:bottom w:val="none"/>
          <w:right w:val="none"/>
          <w:insideH w:val="none"/>
          <w:insideV w:val="none"/>
        </w:tblBorders>
        <w:tblLayout w:type="fixed"/>
      </w:tblPr>
      <w:tblGrid>
        <w:gridCol w:w="3944"/>
        <w:gridCol w:w="2024"/>
        <w:gridCol w:w="2984"/>
      </w:tblGrid>
      <w:tr>
        <w:trPr>
          <w:trHeight w:val="405" w:hRule="atLeast"/>
        </w:trPr>
        <w:tc>
          <w:tcPr>
            <w:tcW w:w="394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TYPE OF RADIATION</w:t>
            </w:r>
          </w:p>
        </w:tc>
        <w:tc>
          <w:tcPr>
            <w:tcW w:w="202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Quality Factor</w:t>
            </w:r>
            <w:r>
              <w:br/>
            </w:r>
            <w:r>
              <w:rPr>
                <w:rFonts w:ascii="Times New Roman" w:hAnsi="Times New Roman"/>
                <w:b w:val="false"/>
                <w:i w:val="false"/>
                <w:color w:val="000000"/>
                <w:sz w:val="14"/>
              </w:rPr>
              <w:t>(Q)</w:t>
            </w:r>
          </w:p>
        </w:tc>
        <w:tc>
          <w:tcPr>
            <w:tcW w:w="298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Absorbed Dose Equal to a Unit Dose Equivalent</w:t>
            </w:r>
            <w:r>
              <w:rPr>
                <w:rFonts w:ascii="Times New Roman" w:hAnsi="Times New Roman"/>
                <w:b w:val="false"/>
                <w:i w:val="false"/>
                <w:color w:val="000000"/>
                <w:sz w:val="14"/>
                <w:vertAlign w:val="superscript"/>
              </w:rPr>
              <w:t>1</w:t>
            </w:r>
          </w:p>
        </w:tc>
      </w:tr>
      <w:tr>
        <w:trPr>
          <w:trHeight w:val="345" w:hRule="atLeast"/>
        </w:trPr>
        <w:tc>
          <w:tcPr>
            <w:tcW w:w="39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X, gamma, or beta radiation and high-speed electrons</w:t>
            </w:r>
          </w:p>
        </w:tc>
        <w:tc>
          <w:tcPr>
            <w:tcW w:w="202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1</w:t>
            </w:r>
          </w:p>
        </w:tc>
        <w:tc>
          <w:tcPr>
            <w:tcW w:w="2984"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1</w:t>
            </w:r>
          </w:p>
        </w:tc>
      </w:tr>
      <w:tr>
        <w:trPr>
          <w:trHeight w:val="345" w:hRule="atLeast"/>
        </w:trPr>
        <w:tc>
          <w:tcPr>
            <w:tcW w:w="39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Alpha particles, multiple-charged particles, fission fragments and heavy particles of unknown charge</w:t>
            </w:r>
          </w:p>
        </w:tc>
        <w:tc>
          <w:tcPr>
            <w:tcW w:w="202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20</w:t>
            </w:r>
          </w:p>
        </w:tc>
        <w:tc>
          <w:tcPr>
            <w:tcW w:w="2984"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0.05</w:t>
            </w:r>
          </w:p>
        </w:tc>
      </w:tr>
      <w:tr>
        <w:trPr>
          <w:trHeight w:val="180" w:hRule="atLeast"/>
        </w:trPr>
        <w:tc>
          <w:tcPr>
            <w:tcW w:w="39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Neutrons of unknown energy</w:t>
            </w:r>
          </w:p>
        </w:tc>
        <w:tc>
          <w:tcPr>
            <w:tcW w:w="202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w:t>
            </w:r>
          </w:p>
        </w:tc>
        <w:tc>
          <w:tcPr>
            <w:tcW w:w="2984"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0.1</w:t>
            </w:r>
          </w:p>
        </w:tc>
      </w:tr>
      <w:tr>
        <w:trPr>
          <w:trHeight w:val="180" w:hRule="atLeast"/>
        </w:trPr>
        <w:tc>
          <w:tcPr>
            <w:tcW w:w="39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High-energy protons</w:t>
            </w:r>
          </w:p>
        </w:tc>
        <w:tc>
          <w:tcPr>
            <w:tcW w:w="202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w:t>
            </w:r>
          </w:p>
        </w:tc>
        <w:tc>
          <w:tcPr>
            <w:tcW w:w="2984"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0.1</w:t>
            </w:r>
          </w:p>
        </w:tc>
      </w:tr>
    </w:tbl>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val="false"/>
          <w:color w:val="000000"/>
          <w:sz w:val="22"/>
        </w:rPr>
        <w:t xml:space="preserve"> Absorbed dose in rad equal to 1 rem or the absorbed dose in gray equal to 1 sievert.</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it is more convenient to measure the neutron fluence rate than to determine the neutron dose equivalent rate in sievert per hour or rem per hour, as provided in Table 1 above, 1 rem (0.01 Sv) of neutron radiation of unknown energies may, for purposes of these rules, be assumed to result from a total fluence of 25 million neutrons per square centimeter incident upon the body. If sufficient information exists to estimate the approximate energy distribution of the neutrons, the licensee or registrant may use the fluence rate per unit dose equivalent or the appropriate Q value from Table II to convert a measured tissue dose in gray or rad to dose equivalent in sievert or rem.</w:t>
      </w:r>
    </w:p>
    <w:p>
      <w:pPr>
        <w:spacing w:before="60" w:after="0"/>
        <w:ind w:left="120"/>
        <w:jc w:val="center"/>
      </w:pPr>
      <w:r>
        <w:rPr>
          <w:rFonts w:ascii="Times New Roman" w:hAnsi="Times New Roman"/>
          <w:b w:val="false"/>
          <w:i w:val="false"/>
          <w:color w:val="000000"/>
          <w:sz w:val="22"/>
        </w:rPr>
        <w:t>TABLE II</w:t>
      </w:r>
    </w:p>
    <w:p>
      <w:pPr>
        <w:spacing w:before="60" w:after="0"/>
        <w:ind w:left="120"/>
        <w:jc w:val="center"/>
      </w:pPr>
      <w:r>
        <w:rPr>
          <w:rFonts w:ascii="Times New Roman" w:hAnsi="Times New Roman"/>
          <w:b w:val="false"/>
          <w:i w:val="false"/>
          <w:color w:val="000000"/>
          <w:sz w:val="22"/>
        </w:rPr>
        <w:t>MEAN QUALITY FACTORS, Q, AND FLUENCE PER UNIT DOSE</w:t>
      </w:r>
    </w:p>
    <w:p>
      <w:pPr>
        <w:spacing w:before="60" w:after="0"/>
        <w:ind w:left="120"/>
        <w:jc w:val="center"/>
      </w:pPr>
      <w:r>
        <w:rPr>
          <w:rFonts w:ascii="Times New Roman" w:hAnsi="Times New Roman"/>
          <w:b w:val="false"/>
          <w:i w:val="false"/>
          <w:color w:val="000000"/>
          <w:sz w:val="22"/>
        </w:rPr>
        <w:t>EQUIVALENT FOR MONOENERGETIC NEUTRONS</w:t>
      </w:r>
    </w:p>
    <w:tbl>
      <w:tblPr>
        <w:tblW w:w="0" w:type="auto"/>
        <w:tblCellSpacing w:w="0" w:type="auto"/>
        <w:tblBorders>
          <w:top w:val="none"/>
          <w:left w:val="none"/>
          <w:bottom w:val="none"/>
          <w:right w:val="none"/>
          <w:insideH w:val="none"/>
          <w:insideV w:val="none"/>
        </w:tblBorders>
        <w:tblLayout w:type="fixed"/>
      </w:tblPr>
      <w:tblGrid>
        <w:gridCol w:w="1344"/>
        <w:gridCol w:w="1632"/>
        <w:gridCol w:w="1632"/>
        <w:gridCol w:w="2688"/>
        <w:gridCol w:w="2304"/>
      </w:tblGrid>
      <w:tr>
        <w:trPr>
          <w:trHeight w:val="615" w:hRule="atLeast"/>
        </w:trPr>
        <w:tc>
          <w:tcPr>
            <w:tcW w:w="13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Neutron</w:t>
            </w:r>
            <w:r>
              <w:br/>
            </w:r>
            <w:r>
              <w:rPr>
                <w:rFonts w:ascii="Times New Roman" w:hAnsi="Times New Roman"/>
                <w:b w:val="false"/>
                <w:i w:val="false"/>
                <w:color w:val="000000"/>
                <w:sz w:val="14"/>
              </w:rPr>
              <w:t>Energy</w:t>
            </w:r>
            <w:r>
              <w:br/>
            </w:r>
            <w:r>
              <w:rPr>
                <w:rFonts w:ascii="Times New Roman" w:hAnsi="Times New Roman"/>
                <w:b w:val="false"/>
                <w:i w:val="false"/>
                <w:color w:val="000000"/>
                <w:sz w:val="14"/>
              </w:rPr>
              <w:t>(MeV)</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Quality</w:t>
            </w:r>
            <w:r>
              <w:br/>
            </w:r>
            <w:r>
              <w:rPr>
                <w:rFonts w:ascii="Times New Roman" w:hAnsi="Times New Roman"/>
                <w:b w:val="false"/>
                <w:i w:val="false"/>
                <w:color w:val="000000"/>
                <w:sz w:val="14"/>
              </w:rPr>
              <w:t>Factor</w:t>
            </w:r>
            <w:r>
              <w:rPr>
                <w:rFonts w:ascii="Times New Roman" w:hAnsi="Times New Roman"/>
                <w:b w:val="false"/>
                <w:i w:val="false"/>
                <w:color w:val="000000"/>
                <w:sz w:val="14"/>
                <w:vertAlign w:val="superscript"/>
              </w:rPr>
              <w:t>a</w:t>
            </w:r>
            <w:r>
              <w:br/>
            </w:r>
            <w:r>
              <w:rPr>
                <w:rFonts w:ascii="Times New Roman" w:hAnsi="Times New Roman"/>
                <w:b w:val="false"/>
                <w:i w:val="false"/>
                <w:color w:val="000000"/>
                <w:sz w:val="14"/>
              </w:rPr>
              <w:t>(Q)</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Fluence per Unit</w:t>
            </w:r>
            <w:r>
              <w:br/>
            </w:r>
            <w:r>
              <w:rPr>
                <w:rFonts w:ascii="Times New Roman" w:hAnsi="Times New Roman"/>
                <w:b w:val="false"/>
                <w:i w:val="false"/>
                <w:color w:val="000000"/>
                <w:sz w:val="14"/>
              </w:rPr>
              <w:t>Dose Equivalent</w:t>
            </w:r>
            <w:r>
              <w:rPr>
                <w:rFonts w:ascii="Times New Roman" w:hAnsi="Times New Roman"/>
                <w:b w:val="false"/>
                <w:i w:val="false"/>
                <w:color w:val="000000"/>
                <w:sz w:val="14"/>
                <w:vertAlign w:val="superscript"/>
              </w:rPr>
              <w:t>b</w:t>
            </w:r>
            <w:r>
              <w:br/>
            </w:r>
            <w:r>
              <w:rPr>
                <w:rFonts w:ascii="Times New Roman" w:hAnsi="Times New Roman"/>
                <w:b w:val="false"/>
                <w:i w:val="false"/>
                <w:color w:val="000000"/>
                <w:sz w:val="14"/>
              </w:rPr>
              <w:t>(neutrons cm</w:t>
            </w:r>
            <w:r>
              <w:rPr>
                <w:rFonts w:ascii="Times New Roman" w:hAnsi="Times New Roman"/>
                <w:b w:val="false"/>
                <w:i w:val="false"/>
                <w:color w:val="000000"/>
                <w:sz w:val="14"/>
                <w:vertAlign w:val="superscript"/>
              </w:rPr>
              <w:t>-2</w:t>
            </w:r>
            <w:r>
              <w:rPr>
                <w:rFonts w:ascii="Times New Roman" w:hAnsi="Times New Roman"/>
                <w:b w:val="false"/>
                <w:i w:val="false"/>
                <w:color w:val="000000"/>
                <w:sz w:val="14"/>
              </w:rPr>
              <w:t xml:space="preserve"> rem</w:t>
            </w:r>
            <w:r>
              <w:rPr>
                <w:rFonts w:ascii="Times New Roman" w:hAnsi="Times New Roman"/>
                <w:b w:val="false"/>
                <w:i w:val="false"/>
                <w:color w:val="000000"/>
                <w:sz w:val="14"/>
                <w:vertAlign w:val="superscript"/>
              </w:rPr>
              <w:t>-1</w:t>
            </w:r>
            <w:r>
              <w:rPr>
                <w:rFonts w:ascii="Times New Roman" w:hAnsi="Times New Roman"/>
                <w:b w:val="false"/>
                <w:i w:val="false"/>
                <w:color w:val="000000"/>
                <w:sz w:val="14"/>
              </w:rPr>
              <w:t>)</w:t>
            </w:r>
          </w:p>
        </w:tc>
        <w:tc>
          <w:tcPr>
            <w:tcW w:w="23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Fluence per Unit</w:t>
            </w:r>
            <w:r>
              <w:br/>
            </w:r>
            <w:r>
              <w:rPr>
                <w:rFonts w:ascii="Times New Roman" w:hAnsi="Times New Roman"/>
                <w:b w:val="false"/>
                <w:i w:val="false"/>
                <w:color w:val="000000"/>
                <w:sz w:val="14"/>
              </w:rPr>
              <w:t>Dose Equivalent</w:t>
            </w:r>
            <w:r>
              <w:rPr>
                <w:rFonts w:ascii="Times New Roman" w:hAnsi="Times New Roman"/>
                <w:b w:val="false"/>
                <w:i w:val="false"/>
                <w:color w:val="000000"/>
                <w:sz w:val="14"/>
                <w:vertAlign w:val="superscript"/>
              </w:rPr>
              <w:t>b</w:t>
            </w:r>
            <w:r>
              <w:br/>
            </w:r>
            <w:r>
              <w:rPr>
                <w:rFonts w:ascii="Times New Roman" w:hAnsi="Times New Roman"/>
                <w:b w:val="false"/>
                <w:i w:val="false"/>
                <w:color w:val="000000"/>
                <w:sz w:val="14"/>
              </w:rPr>
              <w:t>(neutrons cm</w:t>
            </w:r>
            <w:r>
              <w:rPr>
                <w:rFonts w:ascii="Times New Roman" w:hAnsi="Times New Roman"/>
                <w:b w:val="false"/>
                <w:i w:val="false"/>
                <w:color w:val="000000"/>
                <w:sz w:val="14"/>
                <w:vertAlign w:val="superscript"/>
              </w:rPr>
              <w:t>-2</w:t>
            </w:r>
            <w:r>
              <w:rPr>
                <w:rFonts w:ascii="Times New Roman" w:hAnsi="Times New Roman"/>
                <w:b w:val="false"/>
                <w:i w:val="false"/>
                <w:color w:val="000000"/>
                <w:sz w:val="14"/>
              </w:rPr>
              <w:t xml:space="preserve"> Sv</w:t>
            </w:r>
            <w:r>
              <w:rPr>
                <w:rFonts w:ascii="Times New Roman" w:hAnsi="Times New Roman"/>
                <w:b w:val="false"/>
                <w:i w:val="false"/>
                <w:color w:val="000000"/>
                <w:sz w:val="14"/>
                <w:vertAlign w:val="superscript"/>
              </w:rPr>
              <w:t>-1</w:t>
            </w:r>
            <w:r>
              <w:rPr>
                <w:rFonts w:ascii="Times New Roman" w:hAnsi="Times New Roman"/>
                <w:b w:val="false"/>
                <w:i w:val="false"/>
                <w:color w:val="000000"/>
                <w:sz w:val="14"/>
              </w:rPr>
              <w:t>)</w:t>
            </w:r>
          </w:p>
        </w:tc>
      </w:tr>
      <w:tr>
        <w:trPr>
          <w:trHeight w:val="180" w:hRule="atLeast"/>
        </w:trPr>
        <w:tc>
          <w:tcPr>
            <w:tcW w:w="13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3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13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(thermal)</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2.5E–8</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980E+6</w:t>
            </w:r>
          </w:p>
        </w:tc>
        <w:tc>
          <w:tcPr>
            <w:tcW w:w="23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980E+8</w:t>
            </w:r>
          </w:p>
        </w:tc>
      </w:tr>
      <w:tr>
        <w:trPr>
          <w:trHeight w:val="180" w:hRule="atLeast"/>
        </w:trPr>
        <w:tc>
          <w:tcPr>
            <w:tcW w:w="13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1E–7</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980E+6</w:t>
            </w:r>
          </w:p>
        </w:tc>
        <w:tc>
          <w:tcPr>
            <w:tcW w:w="23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980E+8</w:t>
            </w:r>
          </w:p>
        </w:tc>
      </w:tr>
      <w:tr>
        <w:trPr>
          <w:trHeight w:val="180" w:hRule="atLeast"/>
        </w:trPr>
        <w:tc>
          <w:tcPr>
            <w:tcW w:w="13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1E–6</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810E+6</w:t>
            </w:r>
          </w:p>
        </w:tc>
        <w:tc>
          <w:tcPr>
            <w:tcW w:w="23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810E+8</w:t>
            </w:r>
          </w:p>
        </w:tc>
      </w:tr>
      <w:tr>
        <w:trPr>
          <w:trHeight w:val="180" w:hRule="atLeast"/>
        </w:trPr>
        <w:tc>
          <w:tcPr>
            <w:tcW w:w="13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1E–5</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810E+6</w:t>
            </w:r>
          </w:p>
        </w:tc>
        <w:tc>
          <w:tcPr>
            <w:tcW w:w="23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810E+8</w:t>
            </w:r>
          </w:p>
        </w:tc>
      </w:tr>
      <w:tr>
        <w:trPr>
          <w:trHeight w:val="180" w:hRule="atLeast"/>
        </w:trPr>
        <w:tc>
          <w:tcPr>
            <w:tcW w:w="13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1E–4</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840E+6</w:t>
            </w:r>
          </w:p>
        </w:tc>
        <w:tc>
          <w:tcPr>
            <w:tcW w:w="23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840E+8</w:t>
            </w:r>
          </w:p>
        </w:tc>
      </w:tr>
      <w:tr>
        <w:trPr>
          <w:trHeight w:val="180" w:hRule="atLeast"/>
        </w:trPr>
        <w:tc>
          <w:tcPr>
            <w:tcW w:w="13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1E–3</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980E+6</w:t>
            </w:r>
          </w:p>
        </w:tc>
        <w:tc>
          <w:tcPr>
            <w:tcW w:w="23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980E+8</w:t>
            </w:r>
          </w:p>
        </w:tc>
      </w:tr>
      <w:tr>
        <w:trPr>
          <w:trHeight w:val="180" w:hRule="atLeast"/>
        </w:trPr>
        <w:tc>
          <w:tcPr>
            <w:tcW w:w="13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1E–2</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2.5</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1010E+6</w:t>
            </w:r>
          </w:p>
        </w:tc>
        <w:tc>
          <w:tcPr>
            <w:tcW w:w="23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1010E+8</w:t>
            </w:r>
          </w:p>
        </w:tc>
      </w:tr>
      <w:tr>
        <w:trPr>
          <w:trHeight w:val="180" w:hRule="atLeast"/>
        </w:trPr>
        <w:tc>
          <w:tcPr>
            <w:tcW w:w="13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1E–1</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7.5</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170E+6</w:t>
            </w:r>
          </w:p>
        </w:tc>
        <w:tc>
          <w:tcPr>
            <w:tcW w:w="23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170E+8</w:t>
            </w:r>
          </w:p>
        </w:tc>
      </w:tr>
      <w:tr>
        <w:trPr>
          <w:trHeight w:val="180" w:hRule="atLeast"/>
        </w:trPr>
        <w:tc>
          <w:tcPr>
            <w:tcW w:w="13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5E–1</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11</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39E+6</w:t>
            </w:r>
          </w:p>
        </w:tc>
        <w:tc>
          <w:tcPr>
            <w:tcW w:w="23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39E+8</w:t>
            </w:r>
          </w:p>
        </w:tc>
      </w:tr>
      <w:tr>
        <w:trPr>
          <w:trHeight w:val="180" w:hRule="atLeast"/>
        </w:trPr>
        <w:tc>
          <w:tcPr>
            <w:tcW w:w="13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11</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27E+6</w:t>
            </w:r>
          </w:p>
        </w:tc>
        <w:tc>
          <w:tcPr>
            <w:tcW w:w="23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27E+8</w:t>
            </w:r>
          </w:p>
        </w:tc>
      </w:tr>
      <w:tr>
        <w:trPr>
          <w:trHeight w:val="180" w:hRule="atLeast"/>
        </w:trPr>
        <w:tc>
          <w:tcPr>
            <w:tcW w:w="13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2.5</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9</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29E+6</w:t>
            </w:r>
          </w:p>
        </w:tc>
        <w:tc>
          <w:tcPr>
            <w:tcW w:w="23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29E+8</w:t>
            </w:r>
          </w:p>
        </w:tc>
      </w:tr>
      <w:tr>
        <w:trPr>
          <w:trHeight w:val="180" w:hRule="atLeast"/>
        </w:trPr>
        <w:tc>
          <w:tcPr>
            <w:tcW w:w="13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8</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23E+6</w:t>
            </w:r>
          </w:p>
        </w:tc>
        <w:tc>
          <w:tcPr>
            <w:tcW w:w="23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23E+8</w:t>
            </w:r>
          </w:p>
        </w:tc>
      </w:tr>
      <w:tr>
        <w:trPr>
          <w:trHeight w:val="180" w:hRule="atLeast"/>
        </w:trPr>
        <w:tc>
          <w:tcPr>
            <w:tcW w:w="13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24E+6</w:t>
            </w:r>
          </w:p>
        </w:tc>
        <w:tc>
          <w:tcPr>
            <w:tcW w:w="23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24E+8</w:t>
            </w:r>
          </w:p>
        </w:tc>
      </w:tr>
      <w:tr>
        <w:trPr>
          <w:trHeight w:val="180" w:hRule="atLeast"/>
        </w:trPr>
        <w:tc>
          <w:tcPr>
            <w:tcW w:w="13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6.5</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24E+6</w:t>
            </w:r>
          </w:p>
        </w:tc>
        <w:tc>
          <w:tcPr>
            <w:tcW w:w="23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24E+8</w:t>
            </w:r>
          </w:p>
        </w:tc>
      </w:tr>
      <w:tr>
        <w:trPr>
          <w:trHeight w:val="180" w:hRule="atLeast"/>
        </w:trPr>
        <w:tc>
          <w:tcPr>
            <w:tcW w:w="13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14</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7.5</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17E+6</w:t>
            </w:r>
          </w:p>
        </w:tc>
        <w:tc>
          <w:tcPr>
            <w:tcW w:w="23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17E+8</w:t>
            </w:r>
          </w:p>
        </w:tc>
      </w:tr>
      <w:tr>
        <w:trPr>
          <w:trHeight w:val="180" w:hRule="atLeast"/>
        </w:trPr>
        <w:tc>
          <w:tcPr>
            <w:tcW w:w="13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8</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16E+6</w:t>
            </w:r>
          </w:p>
        </w:tc>
        <w:tc>
          <w:tcPr>
            <w:tcW w:w="23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16E+8</w:t>
            </w:r>
          </w:p>
        </w:tc>
      </w:tr>
      <w:tr>
        <w:trPr>
          <w:trHeight w:val="180" w:hRule="atLeast"/>
        </w:trPr>
        <w:tc>
          <w:tcPr>
            <w:tcW w:w="13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40</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14E+6</w:t>
            </w:r>
          </w:p>
        </w:tc>
        <w:tc>
          <w:tcPr>
            <w:tcW w:w="23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14E+8</w:t>
            </w:r>
          </w:p>
        </w:tc>
      </w:tr>
      <w:tr>
        <w:trPr>
          <w:trHeight w:val="180" w:hRule="atLeast"/>
        </w:trPr>
        <w:tc>
          <w:tcPr>
            <w:tcW w:w="13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60</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5.5</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16E+6</w:t>
            </w:r>
          </w:p>
        </w:tc>
        <w:tc>
          <w:tcPr>
            <w:tcW w:w="23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16E+8</w:t>
            </w:r>
          </w:p>
        </w:tc>
      </w:tr>
      <w:tr>
        <w:trPr>
          <w:trHeight w:val="180" w:hRule="atLeast"/>
        </w:trPr>
        <w:tc>
          <w:tcPr>
            <w:tcW w:w="13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1E+2</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4</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20E+6</w:t>
            </w:r>
          </w:p>
        </w:tc>
        <w:tc>
          <w:tcPr>
            <w:tcW w:w="23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20E+8</w:t>
            </w:r>
          </w:p>
        </w:tc>
      </w:tr>
      <w:tr>
        <w:trPr>
          <w:trHeight w:val="180" w:hRule="atLeast"/>
        </w:trPr>
        <w:tc>
          <w:tcPr>
            <w:tcW w:w="13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2E+2</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3.5</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19E+6</w:t>
            </w:r>
          </w:p>
        </w:tc>
        <w:tc>
          <w:tcPr>
            <w:tcW w:w="23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19E+8</w:t>
            </w:r>
          </w:p>
        </w:tc>
      </w:tr>
      <w:tr>
        <w:trPr>
          <w:trHeight w:val="180" w:hRule="atLeast"/>
        </w:trPr>
        <w:tc>
          <w:tcPr>
            <w:tcW w:w="13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3E+2</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3.5</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16E+6</w:t>
            </w:r>
          </w:p>
        </w:tc>
        <w:tc>
          <w:tcPr>
            <w:tcW w:w="23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16E+8</w:t>
            </w:r>
          </w:p>
        </w:tc>
      </w:tr>
      <w:tr>
        <w:trPr>
          <w:trHeight w:val="180" w:hRule="atLeast"/>
        </w:trPr>
        <w:tc>
          <w:tcPr>
            <w:tcW w:w="13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4E+2</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3.5</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14E+6</w:t>
            </w:r>
          </w:p>
        </w:tc>
        <w:tc>
          <w:tcPr>
            <w:tcW w:w="23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14E+8</w:t>
            </w:r>
          </w:p>
        </w:tc>
      </w:tr>
    </w:tbl>
    <w:p>
      <w:pPr>
        <w:spacing w:before="0" w:after="0"/>
        <w:ind w:left="120"/>
        <w:jc w:val="left"/>
      </w:pPr>
      <w:r>
        <w:rPr>
          <w:rFonts w:ascii="Times New Roman" w:hAnsi="Times New Roman"/>
          <w:b w:val="false"/>
          <w:i w:val="false"/>
          <w:color w:val="000000"/>
          <w:sz w:val="22"/>
        </w:rPr>
        <w:t>a. Value of quality factor (Q) at the point where the dose equivalent is maximum in a 30-centimeter diameter cylinder tissue-equivalent phantom.</w:t>
      </w:r>
    </w:p>
    <w:p>
      <w:pPr>
        <w:spacing w:before="0" w:after="0"/>
        <w:ind w:left="120"/>
        <w:jc w:val="left"/>
      </w:pPr>
      <w:r>
        <w:rPr>
          <w:rFonts w:ascii="Times New Roman" w:hAnsi="Times New Roman"/>
          <w:b w:val="false"/>
          <w:i w:val="false"/>
          <w:color w:val="000000"/>
          <w:sz w:val="22"/>
        </w:rPr>
        <w:t>b. Monoenergetic neutrons incident normally on a 30-centimeter diameter cylinder tissue-equivalent phantom.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by rule, regulation, or order, impose upon any licensee or registrant such requirements in addition to those established in these rules as it deems appropriate or necessary to minimize danger to public health and safety or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37.5(2)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0387D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