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641—37.4</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w:t>
      </w:r>
      <w:r>
        <w:rPr>
          <w:rFonts w:ascii="Times New Roman" w:hAnsi="Times New Roman"/>
          <w:b w:val="false"/>
          <w:i w:val="false"/>
          <w:color w:val="000000"/>
          <w:sz w:val="22"/>
        </w:rPr>
        <w:t>Each licensee and registrant shall maintain records showing the receipt, transfer, and disposal of all sources of radiation. Additional record requirements are specified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or signature cannot be denied legal effect or enforceability solely because it is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 cannot be denied legal effect or enforceability solely because an electronic record was used in its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rule requires a record to be in writing, an electronic record will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rule requires a signature, an electronic signature will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afford the department at all reasonable times opportunity to inspect sources of radiation and the premises and facilities wherein such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make available to the department for inspection, upon reasonable notice, records maintained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color w:val="000000"/>
          <w:sz w:val="22"/>
        </w:rPr>
        <w:t xml:space="preserve">Tests. </w:t>
      </w:r>
      <w:r>
        <w:rPr>
          <w:rFonts w:ascii="Times New Roman" w:hAnsi="Times New Roman"/>
          <w:b w:val="false"/>
          <w:i w:val="false"/>
          <w:color w:val="000000"/>
          <w:sz w:val="22"/>
        </w:rPr>
        <w:t>Each licensee and registrant shall perform upon instructions from the department, or shall permit the department to perform, such reasonable tests as the department deems appropriate or necessary, including but not limited to tests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wherein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Radiation detection and monitoring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equipment and devices used in connection with utilization or storage of licensed or registered sources of radiation.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