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641—37.15</w:t>
      </w:r>
      <w:r>
        <w:rPr>
          <w:rFonts w:ascii="Times New Roman" w:hAnsi="Times New Roman"/>
          <w:b/>
          <w:i w:val="false"/>
          <w:color w:val="000000"/>
          <w:sz w:val="22"/>
        </w:rPr>
        <w:t xml:space="preserve">(136C)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37.15(1)</w:t>
      </w:r>
      <w:r>
        <w:rPr>
          <w:rFonts w:ascii="Times New Roman" w:hAnsi="Times New Roman"/>
          <w:b w:val="false"/>
          <w:i w:val="false"/>
          <w:color w:val="000000"/>
          <w:sz w:val="22"/>
        </w:rPr>
        <w:t> </w:t>
      </w:r>
      <w:r>
        <w:rPr>
          <w:rFonts w:ascii="Times New Roman" w:hAnsi="Times New Roman"/>
          <w:b w:val="false"/>
          <w:i/>
          <w:color w:val="000000"/>
          <w:sz w:val="22"/>
        </w:rPr>
        <w:t xml:space="preserve">Presence of representatives of licensees or registrants and workers during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afford to the department at all reasonable times opportunity to inspect materials, machines, activities, facilities, premises, and records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an inspection, department inspectors may consult privately with workers as specified in subrule </w:t>
      </w:r>
      <w:hyperlink r:id="rId4">
        <w:r>
          <w:rPr>
            <w:rStyle w:val="Hyperlink"/>
            <w:rFonts w:ascii="Times New Roman" w:hAnsi="Times New Roman"/>
            <w:b w:val="false"/>
            <w:i w:val="false"/>
            <w:color w:val="000000"/>
            <w:sz w:val="22"/>
          </w:rPr>
          <w:t>37.15(2)</w:t>
        </w:r>
      </w:hyperlink>
      <w:r>
        <w:rPr>
          <w:rFonts w:ascii="Times New Roman" w:hAnsi="Times New Roman"/>
          <w:b w:val="false"/>
          <w:i w:val="false"/>
          <w:color w:val="000000"/>
          <w:sz w:val="22"/>
        </w:rPr>
        <w:t>. The licensee or registrant may accompany department inspectors during other phases of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the time of inspection, an individual has been authorized by the workers to represent them during department inspections, the licensee or registrant shall notify the inspectors of such authorization and shall give the workers’ representative an opportunity to accompany the inspectors during the inspection of physical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worker’s representative shall be routinely engaged in work under control of the licensee or registrant and shall have received instructions as specified in subrule </w:t>
      </w:r>
      <w:hyperlink r:id="rId5">
        <w:r>
          <w:rPr>
            <w:rStyle w:val="Hyperlink"/>
            <w:rFonts w:ascii="Times New Roman" w:hAnsi="Times New Roman"/>
            <w:b w:val="false"/>
            <w:i w:val="false"/>
            <w:color w:val="000000"/>
            <w:sz w:val="22"/>
          </w:rPr>
          <w:t>37.14(2)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Different representatives of licensees or registrants and workers may accompany the inspectors during different phases of an inspection if there is no resulting interference with the conduct of the inspection. However, only one worker’s representative at a time may accompany the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 the approval of the licensee or registrant and the workers’ representative, an individual who is not routinely engaged in work under control of the licensee or registrant, for example, a consultant to the licensee or registrant or to the workers’ representative, shall be afforded the opportunity to accompany department inspectors during the inspection of physical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other provisions of subrule </w:t>
      </w:r>
      <w:hyperlink r:id="rId6">
        <w:r>
          <w:rPr>
            <w:rStyle w:val="Hyperlink"/>
            <w:rFonts w:ascii="Times New Roman" w:hAnsi="Times New Roman"/>
            <w:b w:val="false"/>
            <w:i w:val="false"/>
            <w:color w:val="000000"/>
            <w:sz w:val="22"/>
          </w:rPr>
          <w:t>37.15(1)</w:t>
        </w:r>
      </w:hyperlink>
      <w:r>
        <w:rPr>
          <w:rFonts w:ascii="Times New Roman" w:hAnsi="Times New Roman"/>
          <w:b w:val="false"/>
          <w:i w:val="false"/>
          <w:color w:val="000000"/>
          <w:sz w:val="22"/>
        </w:rPr>
        <w:t>, department inspectors are authorized to refuse to permit accompaniment by any individual who deliberately interferes with a fair and orderly inspection. With regard to areas containing information classified by a department of the U.S. Government in the interest of national security, an individual who accompanies an inspector may have access to such information only if authorized to do so. With regard to any area containing proprietary information, the workers’ representative for that area shall be an individual previously authorized by the licensee or registrant to enter that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37.15(2)</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workers during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inspectors may consult privately with workers concerning matters of occupational radiation protection and other matters related to applicable provisions of these rules and licenses to the extent the inspectors deem necessary for the conduct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course of an inspection, any worker may bring privately to the attention of the inspectors, either orally or in writing, any past or present condition that the worker has reason to believe may have contributed to or caused any violation of Iowa Code chapter </w:t>
      </w:r>
      <w:hyperlink r:id="rId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these rules, or license condition or any unnecessary exposure of an individual to sources of radiation under the licensee’s or registrant’s control. Any such notice in writing shall comply with the requirements of subrule </w:t>
      </w:r>
      <w:hyperlink r:id="rId8">
        <w:r>
          <w:rPr>
            <w:rStyle w:val="Hyperlink"/>
            <w:rFonts w:ascii="Times New Roman" w:hAnsi="Times New Roman"/>
            <w:b w:val="false"/>
            <w:i w:val="false"/>
            <w:color w:val="000000"/>
            <w:sz w:val="22"/>
          </w:rPr>
          <w:t>37.15(3)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paragraph </w:t>
      </w:r>
      <w:hyperlink r:id="rId9">
        <w:r>
          <w:rPr>
            <w:rStyle w:val="Hyperlink"/>
            <w:rFonts w:ascii="Times New Roman" w:hAnsi="Times New Roman"/>
            <w:b w:val="false"/>
            <w:i w:val="false"/>
            <w:color w:val="000000"/>
            <w:sz w:val="22"/>
          </w:rPr>
          <w:t>37.15(2)</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interpreted as authorization to disregard instructions pursuant to rule </w:t>
      </w:r>
      <w:hyperlink r:id="rId10">
        <w:r>
          <w:rPr>
            <w:rStyle w:val="Hyperlink"/>
            <w:rFonts w:ascii="Times New Roman" w:hAnsi="Times New Roman"/>
            <w:b w:val="false"/>
            <w:i w:val="false"/>
            <w:color w:val="000000"/>
            <w:sz w:val="22"/>
          </w:rPr>
          <w:t>641—37.14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37.15(3)</w:t>
      </w:r>
      <w:r>
        <w:rPr>
          <w:rFonts w:ascii="Times New Roman" w:hAnsi="Times New Roman"/>
          <w:b w:val="false"/>
          <w:i w:val="false"/>
          <w:color w:val="000000"/>
          <w:sz w:val="22"/>
        </w:rPr>
        <w:t> </w:t>
      </w:r>
      <w:r>
        <w:rPr>
          <w:rFonts w:ascii="Times New Roman" w:hAnsi="Times New Roman"/>
          <w:b w:val="false"/>
          <w:i/>
          <w:color w:val="000000"/>
          <w:sz w:val="22"/>
        </w:rPr>
        <w:t xml:space="preserve">Requests by workers for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worker or representative of workers believing that a violation of Iowa Code chapter </w:t>
      </w:r>
      <w:hyperlink r:id="rId11">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these rules, or license conditions exists or has occurred in work under a license or registration with regard to radiological working conditions in which the worker is engaged may request an inspection by giving notice of the alleged violation to the department. Any such notice shall be in writing, shall set forth the specific grounds for the notice, and shall be signed by the worker or representative of the workers. A copy shall be provided to the licensee or registrant no later than at the time of inspection, except that, upon the request of the worker giving such notice, such worker’s name and the name of individuals referred to therein cannot appear in such copy or on any record published, released, or made available by the department, except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such notice, the department determines that the complaint meets the requirements set forth in subrule </w:t>
      </w:r>
      <w:hyperlink r:id="rId12">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 xml:space="preserve">, and that there are reasonable grounds to believe that the alleged violation exists or has occurred, an inspection shall be made as soon as practicable to determine if such alleged violation exists or has occurred. Informal reviews pursuant to subrule </w:t>
      </w:r>
      <w:hyperlink r:id="rId13">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 xml:space="preserve"> need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licensee, registrant, or contractor or subcontractor of a licensee or registrant shall discharge or in any manner discriminate against any worker because such worker has filed any complaint or instituted or caused to be instituted any proceeding under these rules or has testified or is about to testify in any such proceeding or because of the exercise by such worker on behalf of such worker or others of any option afforded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37.15(4)</w:t>
      </w:r>
      <w:r>
        <w:rPr>
          <w:rFonts w:ascii="Times New Roman" w:hAnsi="Times New Roman"/>
          <w:b w:val="false"/>
          <w:i w:val="false"/>
          <w:color w:val="000000"/>
          <w:sz w:val="22"/>
        </w:rPr>
        <w:t> </w:t>
      </w:r>
      <w:r>
        <w:rPr>
          <w:rFonts w:ascii="Times New Roman" w:hAnsi="Times New Roman"/>
          <w:b w:val="false"/>
          <w:i/>
          <w:color w:val="000000"/>
          <w:sz w:val="22"/>
        </w:rPr>
        <w:t xml:space="preserve">Inspections not warranted—informal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with respect to a complaint under this rule, that an inspection is not warranted because there are no reasonable grounds to believe that a violation exists or has occurred, the department will notify the complainant in writing of such determination. The complainant may obtain review of such determination by submitting a written statement of position with the attorney general’s office. Such department will provide the licensee or registrant with a copy of such statement by certified mail, excluding, at the request of the complainant, the name of the complainant. The licensee or registrant may submit an opposing written statement of position with the attorney general’s office. Such department will provide the complainant with a copy of such statement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complainant, the attorney general’s office may hold an informal conference in which the complainant and the licensee or registrant may orally present their views. An informal conference may also be held at the request of the licensee or registrant, but disclosure of the identity of the complainant will be made only following receipt of written authorization from the complainant. After considering all written and oral views presented, the attorney general’s office shall affirm, modify, or reverse the determination of the department and furnish the complainant and the licensee or registrant a written notification of the decision and the reason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an inspection is not warranted because the requirements of subrule </w:t>
      </w:r>
      <w:hyperlink r:id="rId14">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 xml:space="preserve"> have not been met, the complainant will be notified in writing of such determination. Such determination will be without prejudice to the filing of a new complaint meeting the requirements of subrule </w:t>
      </w:r>
      <w:hyperlink r:id="rId15">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37.15(5)</w:t>
      </w:r>
      <w:r>
        <w:rPr>
          <w:rFonts w:ascii="Times New Roman" w:hAnsi="Times New Roman"/>
          <w:b w:val="false"/>
          <w:i w:val="false"/>
          <w:color w:val="000000"/>
          <w:sz w:val="22"/>
        </w:rPr>
        <w:t> </w:t>
      </w:r>
      <w:r>
        <w:rPr>
          <w:rFonts w:ascii="Times New Roman" w:hAnsi="Times New Roman"/>
          <w:b w:val="false"/>
          <w:i/>
          <w:color w:val="000000"/>
          <w:sz w:val="22"/>
        </w:rPr>
        <w:t xml:space="preserve">Employee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Discrimination by a licensee or registrant, an applicant for a license or registration, or a contractor or subcontractor of a licensee or applicant against an employee for engaging in certain protected activities is prohibited. Discrimination includes discharge and other actions that relate to compensation, terms, conditions, or privileges of employment. The protected activities are established in </w:t>
      </w:r>
      <w:hyperlink r:id="rId16">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in general are related to the administration or enforcement of requirements imposed under </w:t>
      </w:r>
      <w:hyperlink r:id="rId18">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protected activities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department or the individual’s employer information about alleged violations of either of the statutes named in this rule or possible violations of requirements imposed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Refusing to engage in any practice made unlawful under either of the statutes named in this rule or under these requirements if the employee has identified the alleged illegality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Requesting that the department institute action against the individual’s employer for the administration or enforcement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Testifying in any department proceeding, or before Congress, or at any federal or state proceeding regarding any provision (or proposed provision) of federal statutes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or participating in, or about to assist or participate in,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activities are protected even if no formal proceeding is actually initiated as a result of the employee’s assistance 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has no application to any employee alleging discrimination prohibited by this rule who, acting without direction from the individual’s employer (or the employer’s agent), deliberately causes a violation of any requirement of </w:t>
      </w:r>
      <w:hyperlink r:id="rId20">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the employee has been discharged or otherwise discriminated against by any person for engaging in protected activities specified in paragraph </w:t>
      </w:r>
      <w:hyperlink r:id="rId22">
        <w:r>
          <w:rPr>
            <w:rStyle w:val="Hyperlink"/>
            <w:rFonts w:ascii="Times New Roman" w:hAnsi="Times New Roman"/>
            <w:b w:val="false"/>
            <w:i w:val="false"/>
            <w:color w:val="000000"/>
            <w:sz w:val="22"/>
          </w:rPr>
          <w:t>37.15(5)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seek a remedy for the discharge or discrimination through an administrative proceeding in the U.S. Department of Labor. The administration proceeding must be initiated within 180 days after an alleged violation occurs. The employee may file for the administrative proceeding by filing a complaint alleging the violation with the Department of Labor, Employment Standards Administration, Wage and Hour Division. The Department of Labor may order reinstatement, back pay, and compensatory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subrule </w:t>
      </w:r>
      <w:hyperlink r:id="rId23">
        <w:r>
          <w:rPr>
            <w:rStyle w:val="Hyperlink"/>
            <w:rFonts w:ascii="Times New Roman" w:hAnsi="Times New Roman"/>
            <w:b w:val="false"/>
            <w:i w:val="false"/>
            <w:color w:val="000000"/>
            <w:sz w:val="22"/>
          </w:rPr>
          <w:t>37.15(5)</w:t>
        </w:r>
      </w:hyperlink>
      <w:r>
        <w:rPr>
          <w:rFonts w:ascii="Times New Roman" w:hAnsi="Times New Roman"/>
          <w:b w:val="false"/>
          <w:i w:val="false"/>
          <w:color w:val="000000"/>
          <w:sz w:val="22"/>
        </w:rPr>
        <w:t xml:space="preserve"> by a licensee or registrant, an applicant for a license or registration, or a contractor or subcontractor of a licensee or applicant may be grounds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Denial, revocation, or suspension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Imposition of a civil penalty 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Actions taken by an employer or others that adversely affect an employee may be predicated upon nondiscriminatory grounds. The prohibition applies when the adverse action occurs because the employee has engaged in protected activities. An employee’s engagement in protected activities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 agreement affecting the compensation, terms, conditions, or privileges of employment, including an agreement to settle a complaint filed by an employee with the Department of Labor pursuant to </w:t>
      </w:r>
      <w:hyperlink r:id="rId24">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may contain any provision that would prohibit, restrict, or otherwise discourage an employee from participating in protected activity as defined in subrule </w:t>
      </w:r>
      <w:hyperlink r:id="rId26">
        <w:r>
          <w:rPr>
            <w:rStyle w:val="Hyperlink"/>
            <w:rFonts w:ascii="Times New Roman" w:hAnsi="Times New Roman"/>
            <w:b w:val="false"/>
            <w:i w:val="false"/>
            <w:color w:val="000000"/>
            <w:sz w:val="22"/>
          </w:rPr>
          <w:t>37.15(5)</w:t>
        </w:r>
      </w:hyperlink>
      <w:r>
        <w:rPr>
          <w:rFonts w:ascii="Times New Roman" w:hAnsi="Times New Roman"/>
          <w:b w:val="false"/>
          <w:i w:val="false"/>
          <w:color w:val="000000"/>
          <w:sz w:val="22"/>
        </w:rPr>
        <w:t>, including but not limited to providing information to the department or to the individual’s employer on potential violations or other matters within the department’s regulatory responsibilities.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37.15.pdf" Type="http://schemas.openxmlformats.org/officeDocument/2006/relationships/hyperlink" Id="rId4"/>
    <Relationship TargetMode="External" Target="https://www.legis.iowa.gov/docs/iac/rule/641.37.14.pdf" Type="http://schemas.openxmlformats.org/officeDocument/2006/relationships/hyperlink" Id="rId5"/>
    <Relationship TargetMode="External" Target="https://www.legis.iowa.gov/docs/iac/rule/641.37.15.pdf" Type="http://schemas.openxmlformats.org/officeDocument/2006/relationships/hyperlink" Id="rId6"/>
    <Relationship TargetMode="External" Target="https://www.legis.iowa.gov/docs/ico/chapter/136C.pdf" Type="http://schemas.openxmlformats.org/officeDocument/2006/relationships/hyperlink" Id="rId7"/>
    <Relationship TargetMode="External" Target="https://www.legis.iowa.gov/docs/iac/rule/641.37.15.pdf" Type="http://schemas.openxmlformats.org/officeDocument/2006/relationships/hyperlink" Id="rId8"/>
    <Relationship TargetMode="External" Target="https://www.legis.iowa.gov/docs/iac/rule/641.37.15.pdf" Type="http://schemas.openxmlformats.org/officeDocument/2006/relationships/hyperlink" Id="rId9"/>
    <Relationship TargetMode="External" Target="https://www.legis.iowa.gov/docs/iac/rule/641.37.14.pdf" Type="http://schemas.openxmlformats.org/officeDocument/2006/relationships/hyperlink" Id="rId10"/>
    <Relationship TargetMode="External" Target="https://www.legis.iowa.gov/docs/ico/chapter/136C.pdf" Type="http://schemas.openxmlformats.org/officeDocument/2006/relationships/hyperlink" Id="rId11"/>
    <Relationship TargetMode="External" Target="https://www.legis.iowa.gov/docs/iac/rule/641.37.15.pdf" Type="http://schemas.openxmlformats.org/officeDocument/2006/relationships/hyperlink" Id="rId12"/>
    <Relationship TargetMode="External" Target="https://www.legis.iowa.gov/docs/iac/rule/641.37.15.pdf" Type="http://schemas.openxmlformats.org/officeDocument/2006/relationships/hyperlink" Id="rId13"/>
    <Relationship TargetMode="External" Target="https://www.legis.iowa.gov/docs/iac/rule/641.37.15.pdf" Type="http://schemas.openxmlformats.org/officeDocument/2006/relationships/hyperlink" Id="rId14"/>
    <Relationship TargetMode="External" Target="https://www.legis.iowa.gov/docs/iac/rule/641.37.15.pdf" Type="http://schemas.openxmlformats.org/officeDocument/2006/relationships/hyperlink" Id="rId15"/>
    <Relationship TargetMode="External" Target="https://www.legis.iowa.gov/docs/iac/chapter/641.38.pdf" Type="http://schemas.openxmlformats.org/officeDocument/2006/relationships/hyperlink" Id="rId16"/>
    <Relationship TargetMode="External" Target="https://www.legis.iowa.gov/docs/iac/chapter/641.44.pdf" Type="http://schemas.openxmlformats.org/officeDocument/2006/relationships/hyperlink" Id="rId17"/>
    <Relationship TargetMode="External" Target="https://www.legis.iowa.gov/docs/iac/chapter/641.38.pdf" Type="http://schemas.openxmlformats.org/officeDocument/2006/relationships/hyperlink" Id="rId18"/>
    <Relationship TargetMode="External" Target="https://www.legis.iowa.gov/docs/iac/chapter/641.44.pdf" Type="http://schemas.openxmlformats.org/officeDocument/2006/relationships/hyperlink" Id="rId19"/>
    <Relationship TargetMode="External" Target="https://www.legis.iowa.gov/docs/iac/chapter/641.38.pdf" Type="http://schemas.openxmlformats.org/officeDocument/2006/relationships/hyperlink" Id="rId20"/>
    <Relationship TargetMode="External" Target="https://www.legis.iowa.gov/docs/iac/chapter/641.44.pdf" Type="http://schemas.openxmlformats.org/officeDocument/2006/relationships/hyperlink" Id="rId21"/>
    <Relationship TargetMode="External" Target="https://www.legis.iowa.gov/docs/iac/rule/641.37.15.pdf" Type="http://schemas.openxmlformats.org/officeDocument/2006/relationships/hyperlink" Id="rId22"/>
    <Relationship TargetMode="External" Target="https://www.legis.iowa.gov/docs/iac/rule/641.37.15.pdf" Type="http://schemas.openxmlformats.org/officeDocument/2006/relationships/hyperlink" Id="rId23"/>
    <Relationship TargetMode="External" Target="https://www.legis.iowa.gov/docs/iac/chapter/641.37.pdf" Type="http://schemas.openxmlformats.org/officeDocument/2006/relationships/hyperlink" Id="rId24"/>
    <Relationship TargetMode="External" Target="https://www.legis.iowa.gov/docs/iac/chapter/641.44.pdf" Type="http://schemas.openxmlformats.org/officeDocument/2006/relationships/hyperlink" Id="rId25"/>
    <Relationship TargetMode="External" Target="https://www.legis.iowa.gov/docs/iac/rule/641.37.15.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