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641—37.14</w:t>
      </w:r>
      <w:r>
        <w:rPr>
          <w:rFonts w:ascii="Times New Roman" w:hAnsi="Times New Roman"/>
          <w:b/>
          <w:i w:val="false"/>
          <w:color w:val="000000"/>
          <w:sz w:val="22"/>
        </w:rPr>
        <w:t xml:space="preserve">(136C) </w:t>
      </w:r>
      <w:r>
        <w:rPr>
          <w:rFonts w:ascii="Times New Roman" w:hAnsi="Times New Roman"/>
          <w:b/>
          <w:i w:val="false"/>
          <w:color w:val="000000"/>
          <w:sz w:val="22"/>
        </w:rPr>
        <w:t xml:space="preserve">Notices, instructions, and reports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37.14(1)</w:t>
      </w:r>
      <w:r>
        <w:rPr>
          <w:rFonts w:ascii="Times New Roman" w:hAnsi="Times New Roman"/>
          <w:b w:val="false"/>
          <w:i w:val="false"/>
          <w:color w:val="000000"/>
          <w:sz w:val="22"/>
        </w:rPr>
        <w:t> </w:t>
      </w:r>
      <w:r>
        <w:rPr>
          <w:rFonts w:ascii="Times New Roman" w:hAnsi="Times New Roman"/>
          <w:b w:val="false"/>
          <w:i/>
          <w:color w:val="000000"/>
          <w:sz w:val="22"/>
        </w:rPr>
        <w:t xml:space="preserve">Posting of notices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post current copies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of registration, conditions, or documents incorporated into the license by reference and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operating procedures applicable to activities under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notice of violation involving radiological working conditions, proposed imposition of civil penalty, or order issued pursuant to </w:t>
      </w:r>
      <w:hyperlink r:id="rId4">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and any response from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posting of a document specified in subrule </w:t>
      </w:r>
      <w:hyperlink r:id="rId5">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is not practical, the licensee or registrant may post a notice that describes the document and states where it may be examined.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form “Notice to Employees” shall be posted by each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documents posted pursuant to subrule </w:t>
      </w:r>
      <w:hyperlink r:id="rId6">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shall be posted within two working days after receipt of the documents from the department; the licensee’s or registrant’s response, if any, shall be posted within two working days after dispatch from the licensee or registrant. Such documents shall remain posted for a minimum of five working days or until action correcting the violation has been completed,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notices, or forms posted pursuant to subrule </w:t>
      </w:r>
      <w:hyperlink r:id="rId7">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shall appear in a sufficient number of places to permit individuals engaged in work under the license or registration to observe them on the way to or from any particular work location to which the document applies, shall be conspicuous, and shall be replaced if defaced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37.14(2)</w:t>
      </w:r>
      <w:r>
        <w:rPr>
          <w:rFonts w:ascii="Times New Roman" w:hAnsi="Times New Roman"/>
          <w:b w:val="false"/>
          <w:i w:val="false"/>
          <w:color w:val="000000"/>
          <w:sz w:val="22"/>
        </w:rPr>
        <w:t> </w:t>
      </w:r>
      <w:r>
        <w:rPr>
          <w:rFonts w:ascii="Times New Roman" w:hAnsi="Times New Roman"/>
          <w:b w:val="false"/>
          <w:i/>
          <w:color w:val="000000"/>
          <w:sz w:val="22"/>
        </w:rPr>
        <w:t xml:space="preserve">Instructions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individuals who in the course of employment are likely to receive in a year an occupational dose in excess of 100 mrem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kept informed of the storage, transfer, or use of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health protection problems associated with exposure to radiation or radioactive material to the individual and potential offspring, in precautions or procedures to minimize exposure, and in the purposes and functions of protective devices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and required to observe, to the extent within the worker’s control, the applicable provisions of these rules and licenses for the protection of personnel from exposures to radiation or radioactive material occurring in such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instructed of their responsibility to report promptly to the licensee or registrant any condition that may constitute, lead to, or cause a violation of Iowa Code chapter </w:t>
      </w:r>
      <w:hyperlink r:id="rId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these rules, and licenses or unnecessary exposure to radiation or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appropriate response to warnings made in the event of any unusual occurrence or malfunction that may involve exposure to radiation or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advised as to the radiation exposure reports that workers shall be furnished pursuant to subrule </w:t>
      </w:r>
      <w:hyperlink r:id="rId9">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instruction in subparagraphs </w:t>
      </w:r>
      <w:hyperlink r:id="rId10">
        <w:r>
          <w:rPr>
            <w:rStyle w:val="Hyperlink"/>
            <w:rFonts w:ascii="Times New Roman" w:hAnsi="Times New Roman"/>
            <w:b w:val="false"/>
            <w:i w:val="false"/>
            <w:color w:val="000000"/>
            <w:sz w:val="22"/>
          </w:rPr>
          <w:t>37.14(2)</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(6) shall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be commensurate with potential radiological health protection problems present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those individuals subject to the requirements of subrule </w:t>
      </w:r>
      <w:hyperlink r:id="rId11">
        <w:r>
          <w:rPr>
            <w:rStyle w:val="Hyperlink"/>
            <w:rFonts w:ascii="Times New Roman" w:hAnsi="Times New Roman"/>
            <w:b w:val="false"/>
            <w:i w:val="false"/>
            <w:color w:val="000000"/>
            <w:sz w:val="22"/>
          </w:rPr>
          <w:t>37.14(2)</w:t>
        </w:r>
      </w:hyperlink>
      <w:r>
        <w:rPr>
          <w:rFonts w:ascii="Times New Roman" w:hAnsi="Times New Roman"/>
          <w:b w:val="false"/>
          <w:i w:val="false"/>
          <w:color w:val="000000"/>
          <w:sz w:val="22"/>
        </w:rPr>
        <w:t>, consideration must be given to assigning activities during normal and abnormal situations involving exposure to sources of radiation that can reasonably be expected to occur during the life of the facility. The extent of these instructions must be commensurate with potential radiological health protection problems present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37.14(3)</w:t>
      </w:r>
      <w:r>
        <w:rPr>
          <w:rFonts w:ascii="Times New Roman" w:hAnsi="Times New Roman"/>
          <w:b w:val="false"/>
          <w:i w:val="false"/>
          <w:color w:val="000000"/>
          <w:sz w:val="22"/>
        </w:rPr>
        <w:t> </w:t>
      </w:r>
      <w:r>
        <w:rPr>
          <w:rFonts w:ascii="Times New Roman" w:hAnsi="Times New Roman"/>
          <w:b w:val="false"/>
          <w:i/>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exposure data for an individual and the results of any measurements, analyses, and calculations of radioactive material deposited or retained in the body of an individual shall be reported to the individual as specified in rule </w:t>
      </w:r>
      <w:hyperlink r:id="rId12">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 xml:space="preserve">(136C). The information reported shall include data and results obtained pursuant to these rules, orders, or license conditions as shown in records maintained by the licensee or registrant pursuant to subrule </w:t>
      </w:r>
      <w:hyperlink r:id="rId13">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Each notification and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appropriate identifying data such as the name of the licensee or registrant, the name of the individual, and the individual’s identification number, preferably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the individual’s exposure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the following statement: “This report is furnished to you under the provisions of IAC 641 37.14. You should preserve this report for further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make dose information available to workers as shown in records maintained by the licensee or registrant under the provisions of subrule </w:t>
      </w:r>
      <w:hyperlink r:id="rId14">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xml:space="preserve">. The licensee or registrant shall provide to each individual monitored under subrule </w:t>
      </w:r>
      <w:hyperlink r:id="rId15">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an annual report of the dose received in that monitoring year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individual’s occupational dose exceeds 100 mrem (1 mSv) TEDE or 100 mrem (1 mSv) to any individual organ or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requests the individual’s annual dose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furnish a report of the worker’s exposure to sources of radiation at the request of a worker formerly engaged in activities controlled by the licensee or registrant. The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dose record for each year the worker was required to be monitored pursuant to subrule </w:t>
      </w:r>
      <w:hyperlink r:id="rId16">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furnished within 30 days from the date of the request or within 30 days after the dose of the individual has been determined by the licensee or registrant,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 the period of time that the worker’s activities involved exposure to sources of radiation and include the dates and locations of work under the license or registration in which the worker participated during this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licensee or registrant is required to report to the department any exposure of an individual to radiation or radioactive material, the licensee or the registrant shall also provide the individual a report on the individual’s exposure data included in the report to the department. Such reports shall be transmitted at a time not later than the transmittal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request of a worker who is terminating employment with the licensee or registrant in work involving exposure to radiation or radioactive material, during the current year, each licensee or registrant shall provide at termination to each such worker, or to the worker’s designee, a written report regarding the radiation dose received by that worker from operations of the licensee or registrant during the current year or fraction thereof. If the most recent individual monitoring results are not available at that time, a written estimate of the dose shall be provided together with a clear indication that this is an estimate.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8.pdf" Type="http://schemas.openxmlformats.org/officeDocument/2006/relationships/hyperlink" Id="rId4"/>
    <Relationship TargetMode="External" Target="https://www.legis.iowa.gov/docs/iac/rule/641.37.14.pdf" Type="http://schemas.openxmlformats.org/officeDocument/2006/relationships/hyperlink" Id="rId5"/>
    <Relationship TargetMode="External" Target="https://www.legis.iowa.gov/docs/iac/rule/641.37.14.pdf" Type="http://schemas.openxmlformats.org/officeDocument/2006/relationships/hyperlink" Id="rId6"/>
    <Relationship TargetMode="External" Target="https://www.legis.iowa.gov/docs/iac/rule/641.37.14.pdf" Type="http://schemas.openxmlformats.org/officeDocument/2006/relationships/hyperlink" Id="rId7"/>
    <Relationship TargetMode="External" Target="https://www.legis.iowa.gov/docs/ico/chapter/136C.pdf" Type="http://schemas.openxmlformats.org/officeDocument/2006/relationships/hyperlink" Id="rId8"/>
    <Relationship TargetMode="External" Target="https://www.legis.iowa.gov/docs/iac/rule/641.37.13.pdf" Type="http://schemas.openxmlformats.org/officeDocument/2006/relationships/hyperlink" Id="rId9"/>
    <Relationship TargetMode="External" Target="https://www.legis.iowa.gov/docs/iac/rule/641.37.14.pdf" Type="http://schemas.openxmlformats.org/officeDocument/2006/relationships/hyperlink" Id="rId10"/>
    <Relationship TargetMode="External" Target="https://www.legis.iowa.gov/docs/iac/rule/641.37.14.pdf" Type="http://schemas.openxmlformats.org/officeDocument/2006/relationships/hyperlink" Id="rId11"/>
    <Relationship TargetMode="External" Target="https://www.legis.iowa.gov/docs/iac/rule/641.37.14.pdf" Type="http://schemas.openxmlformats.org/officeDocument/2006/relationships/hyperlink" Id="rId12"/>
    <Relationship TargetMode="External" Target="https://www.legis.iowa.gov/docs/iac/rule/641.37.12.pdf" Type="http://schemas.openxmlformats.org/officeDocument/2006/relationships/hyperlink" Id="rId13"/>
    <Relationship TargetMode="External" Target="https://www.legis.iowa.gov/docs/iac/rule/641.37.12.pdf" Type="http://schemas.openxmlformats.org/officeDocument/2006/relationships/hyperlink" Id="rId14"/>
    <Relationship TargetMode="External" Target="https://www.legis.iowa.gov/docs/iac/rule/641.37.11.pdf" Type="http://schemas.openxmlformats.org/officeDocument/2006/relationships/hyperlink" Id="rId15"/>
    <Relationship TargetMode="External" Target="https://www.legis.iowa.gov/docs/iac/rule/641.37.11.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