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641—37.13</w:t>
      </w:r>
      <w:r>
        <w:rPr>
          <w:rFonts w:ascii="Times New Roman" w:hAnsi="Times New Roman"/>
          <w:b/>
          <w:i w:val="false"/>
          <w:color w:val="000000"/>
          <w:sz w:val="22"/>
        </w:rPr>
        <w:t xml:space="preserve">(136C) </w:t>
      </w:r>
      <w:r>
        <w:rPr>
          <w:rFonts w:ascii="Times New Roman" w:hAnsi="Times New Roman"/>
          <w:b/>
          <w:i w:val="false"/>
          <w:color w:val="000000"/>
          <w:sz w:val="22"/>
        </w:rPr>
        <w:t xml:space="preserve">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37.13(1)</w:t>
      </w:r>
      <w:r>
        <w:rPr>
          <w:rFonts w:ascii="Times New Roman" w:hAnsi="Times New Roman"/>
          <w:b w:val="false"/>
          <w:i w:val="false"/>
          <w:color w:val="000000"/>
          <w:sz w:val="22"/>
        </w:rPr>
        <w:t> </w:t>
      </w:r>
      <w:r>
        <w:rPr>
          <w:rFonts w:ascii="Times New Roman" w:hAnsi="Times New Roman"/>
          <w:b w:val="false"/>
          <w:i/>
          <w:color w:val="000000"/>
          <w:sz w:val="22"/>
        </w:rPr>
        <w:t xml:space="preserve">Reports; stolen, lost, or missing licensed or registered sources of radiation.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Telephone reports. </w:t>
      </w:r>
      <w:r>
        <w:rPr>
          <w:rFonts w:ascii="Times New Roman" w:hAnsi="Times New Roman"/>
          <w:b w:val="false"/>
          <w:i w:val="false"/>
          <w:color w:val="000000"/>
          <w:sz w:val="22"/>
        </w:rPr>
        <w:t>Each licensee or registrant shall report to the department by telephone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Immediately after its occurrence becomes known to the licensee, stolen, lost, or missing licensed radioactive material in an aggregate quantity equal to or greater than 1,000 times the quantity specified in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C, under such circumstances that it appears to the licensee that an exposure could result to individuals in unrestricted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after its occurrence becomes known to the licensee, lost, stolen, or missing licensed radioactive material in quantity greater than ten times the quantity specified in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C, that is still missing.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Immediately after its occurrence becomes known to the registrant, a stolen, lost, or missing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Written reports. </w:t>
      </w:r>
      <w:r>
        <w:rPr>
          <w:rFonts w:ascii="Times New Roman" w:hAnsi="Times New Roman"/>
          <w:b w:val="false"/>
          <w:i w:val="false"/>
          <w:color w:val="000000"/>
          <w:sz w:val="22"/>
        </w:rPr>
        <w:t xml:space="preserve">Each licensee or registrant required to make a report pursuant to subrule </w:t>
      </w:r>
      <w:hyperlink r:id="rId4">
        <w:r>
          <w:rPr>
            <w:rStyle w:val="Hyperlink"/>
            <w:rFonts w:ascii="Times New Roman" w:hAnsi="Times New Roman"/>
            <w:b w:val="false"/>
            <w:i w:val="false"/>
            <w:color w:val="000000"/>
            <w:sz w:val="22"/>
          </w:rPr>
          <w:t>37.13(1)</w:t>
        </w:r>
      </w:hyperlink>
      <w:r>
        <w:rPr>
          <w:rFonts w:ascii="Times New Roman" w:hAnsi="Times New Roman"/>
          <w:b w:val="false"/>
          <w:i w:val="false"/>
          <w:color w:val="000000"/>
          <w:sz w:val="22"/>
        </w:rPr>
        <w:t xml:space="preserve"> shall, within 30 days after making the telephone report, make a written report to the department setting forth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licensed or registered source of radiation involved, including, for radioactive material, the kind, quantity, and chemical and physical form; and for radiation machines, the manufacturer, model and serial number, type and maximum energy of radiation emitted;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circumstances under which the loss or theft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disposition, or probable disposition, of the licensed or registered source of radiation involved;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Exposures of individuals to radiation, circumstances under which the exposures occurred, and the possible total effective dose equivalent to persons in unrestricted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Actions that have been, or will be, taken to recover the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Procedures or measures that have been, or will be, adopted to ensure against a recurrence of the loss or theft of licensed or registered sources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Additional substantive information. </w:t>
      </w:r>
      <w:r>
        <w:rPr>
          <w:rFonts w:ascii="Times New Roman" w:hAnsi="Times New Roman"/>
          <w:b w:val="false"/>
          <w:i w:val="false"/>
          <w:color w:val="000000"/>
          <w:sz w:val="22"/>
        </w:rPr>
        <w:t>Subsequent to filing the written report, the licensee or registrant shall also report additional substantive information on the loss or theft within 30 days after the licensee or registrant learns of such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Names of individuals. </w:t>
      </w:r>
      <w:r>
        <w:rPr>
          <w:rFonts w:ascii="Times New Roman" w:hAnsi="Times New Roman"/>
          <w:b w:val="false"/>
          <w:i w:val="false"/>
          <w:color w:val="000000"/>
          <w:sz w:val="22"/>
        </w:rPr>
        <w:t xml:space="preserve">The licensee or registrant shall prepare any report filed with the department pursuant to subrule </w:t>
      </w:r>
      <w:hyperlink r:id="rId5">
        <w:r>
          <w:rPr>
            <w:rStyle w:val="Hyperlink"/>
            <w:rFonts w:ascii="Times New Roman" w:hAnsi="Times New Roman"/>
            <w:b w:val="false"/>
            <w:i w:val="false"/>
            <w:color w:val="000000"/>
            <w:sz w:val="22"/>
          </w:rPr>
          <w:t>37.13(1)</w:t>
        </w:r>
      </w:hyperlink>
      <w:r>
        <w:rPr>
          <w:rFonts w:ascii="Times New Roman" w:hAnsi="Times New Roman"/>
          <w:b w:val="false"/>
          <w:i w:val="false"/>
          <w:color w:val="000000"/>
          <w:sz w:val="22"/>
        </w:rPr>
        <w:t xml:space="preserve"> so that names of individuals who may have received exposure to radiation are stated in a separate and detachable portion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37.13(2)</w:t>
      </w:r>
      <w:r>
        <w:rPr>
          <w:rFonts w:ascii="Times New Roman" w:hAnsi="Times New Roman"/>
          <w:b w:val="false"/>
          <w:i w:val="false"/>
          <w:color w:val="000000"/>
          <w:sz w:val="22"/>
        </w:rPr>
        <w:t> </w:t>
      </w:r>
      <w:r>
        <w:rPr>
          <w:rFonts w:ascii="Times New Roman" w:hAnsi="Times New Roman"/>
          <w:b w:val="false"/>
          <w:i/>
          <w:color w:val="000000"/>
          <w:sz w:val="22"/>
        </w:rPr>
        <w:t xml:space="preserve">Reports; notification of incidents and reporting requirements for licensees.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Immediate notification. </w:t>
      </w:r>
      <w:r>
        <w:rPr>
          <w:rFonts w:ascii="Times New Roman" w:hAnsi="Times New Roman"/>
          <w:b w:val="false"/>
          <w:i w:val="false"/>
          <w:color w:val="000000"/>
          <w:sz w:val="22"/>
        </w:rPr>
        <w:t>Notwithstanding other requirements for notification, each licensee or registrant shall immediately report each event involving a source of radiation possessed by the licensee or registrant that may have caused or threatens to cause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total effective dose equivalent of 25 rem (0.25 Sv)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lens dose equivalent of 75 rem (0.75 Sv)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shallow dose equivalent to the skin or extremities of 250 rad (2.5 Gy)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release of radioactive material inside or outside of a restricted area, so that, had an individual been present for 24 hours, the individual could have received an intake five times the annual limit on intake. This provision does not apply to locations where personnel are not normally stationed during routine operations, such as hot-cells or process enclosures.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paragraph </w:t>
      </w:r>
      <w:hyperlink r:id="rId6">
        <w:r>
          <w:rPr>
            <w:rStyle w:val="Hyperlink"/>
            <w:rFonts w:ascii="Times New Roman" w:hAnsi="Times New Roman"/>
            <w:b w:val="false"/>
            <w:i w:val="false"/>
            <w:color w:val="000000"/>
            <w:sz w:val="22"/>
          </w:rPr>
          <w:t>37.13(2)</w:t>
        </w:r>
      </w:hyperlink>
      <w:r>
        <w:rPr>
          <w:rFonts w:ascii="Times New Roman" w:hAnsi="Times New Roman"/>
          <w:b w:val="false"/>
          <w:i/>
          <w:color w:val="000000"/>
          <w:sz w:val="22"/>
        </w:rPr>
        <w:t>“a,”</w:t>
      </w:r>
      <w:r>
        <w:rPr>
          <w:rFonts w:ascii="Times New Roman" w:hAnsi="Times New Roman"/>
          <w:b w:val="false"/>
          <w:i w:val="false"/>
          <w:color w:val="000000"/>
          <w:sz w:val="22"/>
        </w:rPr>
        <w:t xml:space="preserve"> each licensee shall notify the department as soon as possible but not later than four hours after the discovery of an event that prevents immediate protective actions necessary to avoid exposures to radiation or radioactive materials that could exceed regulatory limits or releases of licensed material that could exceed regulatory limits (e.g., fires, explosions, toxic gas releases, and other such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Twenty-four-hour notification. </w:t>
      </w:r>
      <w:r>
        <w:rPr>
          <w:rFonts w:ascii="Times New Roman" w:hAnsi="Times New Roman"/>
          <w:b w:val="false"/>
          <w:i w:val="false"/>
          <w:color w:val="000000"/>
          <w:sz w:val="22"/>
        </w:rPr>
        <w:t>Each licensee or registrant shall, within 24 hours of discovery of an event, report to the department each event involving loss of control of a licensed or registered source of radiation possessed by the licensee or registrant that may have caused, or threatens to cause,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to receive, in a period of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total effective dose equivalent exceeding 5 rem (0.05 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lens dose equivalent exceeding 15 rem (0.15 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shallow dose equivalent to the skin or extremities exceeding 50 rem (0.5 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release of radioactive material inside or outside of a restricted area, so that, had an individual been present for 24 hours, the individual could have received an intake in excess of one occupational ALI. This provision does not apply to locations where personnel are not normally stationed during routine operations, such as hot-cells or process enclosures.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paragraphs </w:t>
      </w:r>
      <w:hyperlink r:id="rId7">
        <w:r>
          <w:rPr>
            <w:rStyle w:val="Hyperlink"/>
            <w:rFonts w:ascii="Times New Roman" w:hAnsi="Times New Roman"/>
            <w:b w:val="false"/>
            <w:i w:val="false"/>
            <w:color w:val="000000"/>
            <w:sz w:val="22"/>
          </w:rPr>
          <w:t>37.13(2)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each licensee shall notify the department within 24 hours after the discovery of any of the following events involving licensed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unplanned contamination event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Requires access to the contaminated area, by workers or the public, to be restricted for more than 24 hours by imposing additional radiological controls or by prohibiting entry into the area;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Involves a quantity of material greater than five times the lowest annual limit on intake specified in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for the material;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access to the area restricted for a reason other than to allow isotopes with a half-life of less than 24 hours to decay prior to decontamination.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event in which equipment is disabled or fails to function as designed when: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equipment is required by regulation or license condition to prevent releases exceeding regulatory limits, to prevent exposures to radiation and radioactive materials exceeding regulatory limits, or to mitigate the consequences of an accident;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equipment is required to be available and operable when it is disabled or fails to function;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 redundant equipment is available and operable to perform the required safety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event that requires unplanned medical treatment at a medical facility of an individual with spreadable radioactive contamination on the individual’s clothing or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unplanned fire or explosion damaging any licensed material or any device, container, or equipment containing licensed material when: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quantity of material involved is greater than five times the lowest annual limit on intake specified in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for the material;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damage affects the integrity of the licensed material or its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37.13(3)</w:t>
      </w:r>
      <w:r>
        <w:rPr>
          <w:rFonts w:ascii="Times New Roman" w:hAnsi="Times New Roman"/>
          <w:b w:val="false"/>
          <w:i w:val="false"/>
          <w:color w:val="000000"/>
          <w:sz w:val="22"/>
        </w:rPr>
        <w:t> </w:t>
      </w:r>
      <w:r>
        <w:rPr>
          <w:rFonts w:ascii="Times New Roman" w:hAnsi="Times New Roman"/>
          <w:b w:val="false"/>
          <w:i/>
          <w:color w:val="000000"/>
          <w:sz w:val="22"/>
        </w:rPr>
        <w:t xml:space="preserve">Reports; notifications and reporting requirements of a reportable radiation incident.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report any radiation incident involving the administration of ionizing radiation resulted from any of the following to the department, except when the event is the result of intervention by a patient or human research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Therapeutic radiation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involve the wrong patient, wrong treatment modality, or wrong treatment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which the weekly administered dose differs from the weekly prescribed dose by more than 30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which the total administered dose differs from the total prescribed dose by more than 20 percent of the total prescribed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which the dose differs by 50 percent or greater for any single fraction of a multi-fraction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equipment failure, personnel error, accident, mishap or other unusual occurrence that causes or is likely to cause significant physical harm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Diagnostic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Results in an unintended skin dose to the same area in a single procedure greater than 2 Gy (200 rads).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Results in an unintended dose greater than five times the facility’s established protocol for a procedure and exceeds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0.5 Gy (50 rads) to an organ.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0.05 Gy (5 rads) total effective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Involves the wrong patient or wrong site for the entire diagnostic examination (procedure/service) and exceeds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0.5 Gy (50 rads) to an organ.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0.05 Gy (5 rads) total effective dose for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wrong patient or wrong site imaged, regardless of dose received, shall be reported, documented, and addressed internally in accordance with the facility’s established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CT event investigation and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cumulative CTDIvol over the course of an individual study at a particular anatomical location exceeds 60 rem (600 mGy) for a pediatric CT procedure or 150 rem (1500 mGy) for an adult CT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ionizing radiation exposure from a CT procedure results in unanticipated hair loss, erythema, or functional damage to an organ or physiological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each event, the registrant shall conduct a root cause analysis in consultation with a qualified expert, the interpreting physician, and the operator who performed the CT procedure. The registrant shall make appropriate modifications consistent with the corrective action plan to prevent future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Involves any equipment failure, personnel error, accident, mishap or other unusual occurrence with the administration of ionizing radiation that exceeds 0.05 Gy (5 rads) total effective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rule applies to radiation incidents occurring during medical diagnostic and interventional X-ray procedures, as well as any other radiation machine-related incident that meets established reporting criteria. This rule also encompasses any additional incident deemed reportable by the department based on potential or actual deviation from intended use, dose, or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event resulting from intervention of a patient or human research subject in which the administration of radioactive material or radiation from radioactive material results, or will likely result, in unintended permanent functional damage to an organ or a physiological system, as determined by a physician, shall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notify the department by telephone no later than the next calendar day after discovery of the reportable radiation incident or medical event or sooner if required under the provisions set forth in this chapter where a more stringent reporting time frame has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notify both the referring physician and the individual who is the subject of the reportable radiation incident or medical event no later than 24 hours after its discovery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referring physician personally notifies the licensee or registrant that they will inform the individual, or determines, based on medical judgment, that informing the individual would be harmful, the licensee or registrant is not required to notify the individual 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consult with the referring physician prior to notifying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referring physician or individual cannot be reached within 24 hours, the licensee shall notify the individual as soon as possible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Notification cannot delay any appropriate medical care for the individual, including necessary remedial treatment, resulting from the reportable radiation incident or medical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individual is a minor or is unable to receive notification directly, notification may be made to a responsible relative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notification is provided verbally, the licensee or registrant shall inform the individual, responsible relative, or legal guardian that a written description of the reportable radiation incident or medical event can be obtained from the licensee or registrant. The licensee or registrant shall provide such written description if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37.13(4)</w:t>
      </w:r>
      <w:r>
        <w:rPr>
          <w:rFonts w:ascii="Times New Roman" w:hAnsi="Times New Roman"/>
          <w:b w:val="false"/>
          <w:i w:val="false"/>
          <w:color w:val="000000"/>
          <w:sz w:val="22"/>
        </w:rPr>
        <w:t> </w:t>
      </w:r>
      <w:r>
        <w:rPr>
          <w:rFonts w:ascii="Times New Roman" w:hAnsi="Times New Roman"/>
          <w:b w:val="false"/>
          <w:i/>
          <w:color w:val="000000"/>
          <w:sz w:val="22"/>
        </w:rPr>
        <w:t xml:space="preserve">Report by telephone or electronic media. </w:t>
      </w:r>
      <w:r>
        <w:rPr>
          <w:rFonts w:ascii="Times New Roman" w:hAnsi="Times New Roman"/>
          <w:b w:val="false"/>
          <w:i w:val="false"/>
          <w:color w:val="000000"/>
          <w:sz w:val="22"/>
        </w:rPr>
        <w:t xml:space="preserve">Licensees or registrants shall make the notification of the incident report required by subrule </w:t>
      </w:r>
      <w:hyperlink r:id="rId8">
        <w:r>
          <w:rPr>
            <w:rStyle w:val="Hyperlink"/>
            <w:rFonts w:ascii="Times New Roman" w:hAnsi="Times New Roman"/>
            <w:b w:val="false"/>
            <w:i w:val="false"/>
            <w:color w:val="000000"/>
            <w:sz w:val="22"/>
          </w:rPr>
          <w:t>37.13(2)</w:t>
        </w:r>
      </w:hyperlink>
      <w:r>
        <w:rPr>
          <w:rFonts w:ascii="Times New Roman" w:hAnsi="Times New Roman"/>
          <w:b w:val="false"/>
          <w:i w:val="false"/>
          <w:color w:val="000000"/>
          <w:sz w:val="22"/>
        </w:rPr>
        <w:t xml:space="preserve"> to the department by telephone or electronic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or registrants making initial reports to the department shall to the extent that the information is available at the time of notification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caller’s name and call-back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event, including date and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exact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isotopes, quantities, and chemical and physical form of the licensed material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personnel radiation exposure data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who makes a notification of incident report required by subrule </w:t>
      </w:r>
      <w:hyperlink r:id="rId9">
        <w:r>
          <w:rPr>
            <w:rStyle w:val="Hyperlink"/>
            <w:rFonts w:ascii="Times New Roman" w:hAnsi="Times New Roman"/>
            <w:b w:val="false"/>
            <w:i w:val="false"/>
            <w:color w:val="000000"/>
            <w:sz w:val="22"/>
          </w:rPr>
          <w:t>37.13(2)</w:t>
        </w:r>
      </w:hyperlink>
      <w:r>
        <w:rPr>
          <w:rFonts w:ascii="Times New Roman" w:hAnsi="Times New Roman"/>
          <w:b w:val="false"/>
          <w:i w:val="false"/>
          <w:color w:val="000000"/>
          <w:sz w:val="22"/>
        </w:rPr>
        <w:t xml:space="preserve"> shall submit a written follow-up report within 30 days of the initial report. Written reports prepared pursuant to other rules may be submitted to fulfill this requirement if the reports contain all the necessary information. These written reports must be sent to the department at Lucas State Office Building, 321 East 12th Street, Des Moines, Iowa 50319. The reports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name and license or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of the prescribing physician,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event,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probable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manufacturer and model number (if applicable) of any equipment that failed or malfunctioned;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exact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 and time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isotopes, quantities, and chemical and physical form of the licensed material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Corrective actions taken or planned to prevent recurrence and the results of any evaluations or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extent of exposure of individuals to radiation or to radioactive materials, without identification of individuals by name, and the effect, if any, on the individual(s) who received the administration or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Certification that the licensee or registrant notified the individual or the individual’s responsible relative or legal guardian and the referring physician in compliance with the requirements of this chapter and if not, the reason why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37.13(5)</w:t>
      </w:r>
      <w:r>
        <w:rPr>
          <w:rFonts w:ascii="Times New Roman" w:hAnsi="Times New Roman"/>
          <w:b w:val="false"/>
          <w:i w:val="false"/>
          <w:color w:val="000000"/>
          <w:sz w:val="22"/>
        </w:rPr>
        <w:t> </w:t>
      </w:r>
      <w:r>
        <w:rPr>
          <w:rFonts w:ascii="Times New Roman" w:hAnsi="Times New Roman"/>
          <w:b w:val="false"/>
          <w:i/>
          <w:color w:val="000000"/>
          <w:sz w:val="22"/>
        </w:rPr>
        <w:t xml:space="preserve">Names of individuals in detachable portion. </w:t>
      </w:r>
      <w:r>
        <w:rPr>
          <w:rFonts w:ascii="Times New Roman" w:hAnsi="Times New Roman"/>
          <w:b w:val="false"/>
          <w:i w:val="false"/>
          <w:color w:val="000000"/>
          <w:sz w:val="22"/>
        </w:rPr>
        <w:t xml:space="preserve">The licensee or registrant shall prepare each written report to be submitted to the department pursuant to subrule </w:t>
      </w:r>
      <w:hyperlink r:id="rId10">
        <w:r>
          <w:rPr>
            <w:rStyle w:val="Hyperlink"/>
            <w:rFonts w:ascii="Times New Roman" w:hAnsi="Times New Roman"/>
            <w:b w:val="false"/>
            <w:i w:val="false"/>
            <w:color w:val="000000"/>
            <w:sz w:val="22"/>
          </w:rPr>
          <w:t>37.13(2)</w:t>
        </w:r>
      </w:hyperlink>
      <w:r>
        <w:rPr>
          <w:rFonts w:ascii="Times New Roman" w:hAnsi="Times New Roman"/>
          <w:b w:val="false"/>
          <w:i w:val="false"/>
          <w:color w:val="000000"/>
          <w:sz w:val="22"/>
        </w:rPr>
        <w:t xml:space="preserve"> so that names of individuals who have received exposure to sources of radiation are stated in a separate and detachable portion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37.13(6)</w:t>
      </w:r>
      <w:r>
        <w:rPr>
          <w:rFonts w:ascii="Times New Roman" w:hAnsi="Times New Roman"/>
          <w:b w:val="false"/>
          <w:i w:val="false"/>
          <w:color w:val="000000"/>
          <w:sz w:val="22"/>
        </w:rPr>
        <w:t> </w:t>
      </w:r>
      <w:r>
        <w:rPr>
          <w:rFonts w:ascii="Times New Roman" w:hAnsi="Times New Roman"/>
          <w:b w:val="false"/>
          <w:i/>
          <w:color w:val="000000"/>
          <w:sz w:val="22"/>
        </w:rPr>
        <w:t xml:space="preserve">Rights or duties. </w:t>
      </w:r>
      <w:r>
        <w:rPr>
          <w:rFonts w:ascii="Times New Roman" w:hAnsi="Times New Roman"/>
          <w:b w:val="false"/>
          <w:i w:val="false"/>
          <w:color w:val="000000"/>
          <w:sz w:val="22"/>
        </w:rPr>
        <w:t>Aside from the notification requirement, nothing in this rule affects any rights or duties of licensees, registrants, and physicians in relation to each other; to individuals affected by the reportable radiation incident or medical event; or to that individual’s responsible relatives or legal guardians.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37.13(7)</w:t>
      </w:r>
      <w:r>
        <w:rPr>
          <w:rFonts w:ascii="Times New Roman" w:hAnsi="Times New Roman"/>
          <w:b w:val="false"/>
          <w:i w:val="false"/>
          <w:color w:val="000000"/>
          <w:sz w:val="22"/>
        </w:rPr>
        <w:t> </w:t>
      </w:r>
      <w:r>
        <w:rPr>
          <w:rFonts w:ascii="Times New Roman" w:hAnsi="Times New Roman"/>
          <w:b w:val="false"/>
          <w:i/>
          <w:color w:val="000000"/>
          <w:sz w:val="22"/>
        </w:rPr>
        <w:t xml:space="preserve">Doses from planned special exposures. </w:t>
      </w:r>
      <w:r>
        <w:rPr>
          <w:rFonts w:ascii="Times New Roman" w:hAnsi="Times New Roman"/>
          <w:b w:val="false"/>
          <w:i w:val="false"/>
          <w:color w:val="000000"/>
          <w:sz w:val="22"/>
        </w:rPr>
        <w:t xml:space="preserve">The provisions of subrule </w:t>
      </w:r>
      <w:hyperlink r:id="rId11">
        <w:r>
          <w:rPr>
            <w:rStyle w:val="Hyperlink"/>
            <w:rFonts w:ascii="Times New Roman" w:hAnsi="Times New Roman"/>
            <w:b w:val="false"/>
            <w:i w:val="false"/>
            <w:color w:val="000000"/>
            <w:sz w:val="22"/>
          </w:rPr>
          <w:t>37.13(2)</w:t>
        </w:r>
      </w:hyperlink>
      <w:r>
        <w:rPr>
          <w:rFonts w:ascii="Times New Roman" w:hAnsi="Times New Roman"/>
          <w:b w:val="false"/>
          <w:i w:val="false"/>
          <w:color w:val="000000"/>
          <w:sz w:val="22"/>
        </w:rPr>
        <w:t xml:space="preserve"> do not apply to doses that result from planned special exposures provided such doses are within the limits for planned special exposures and are reported pursuant to subrule </w:t>
      </w:r>
      <w:hyperlink r:id="rId12">
        <w:r>
          <w:rPr>
            <w:rStyle w:val="Hyperlink"/>
            <w:rFonts w:ascii="Times New Roman" w:hAnsi="Times New Roman"/>
            <w:b w:val="false"/>
            <w:i w:val="false"/>
            <w:color w:val="000000"/>
            <w:sz w:val="22"/>
          </w:rPr>
          <w:t>37.13(8)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37.13(8)</w:t>
      </w:r>
      <w:r>
        <w:rPr>
          <w:rFonts w:ascii="Times New Roman" w:hAnsi="Times New Roman"/>
          <w:b w:val="false"/>
          <w:i w:val="false"/>
          <w:color w:val="000000"/>
          <w:sz w:val="22"/>
        </w:rPr>
        <w:t> </w:t>
      </w:r>
      <w:r>
        <w:rPr>
          <w:rFonts w:ascii="Times New Roman" w:hAnsi="Times New Roman"/>
          <w:b w:val="false"/>
          <w:i/>
          <w:color w:val="000000"/>
          <w:sz w:val="22"/>
        </w:rPr>
        <w:t xml:space="preserve">Reports of planned special exposures. </w:t>
      </w:r>
      <w:r>
        <w:rPr>
          <w:rFonts w:ascii="Times New Roman" w:hAnsi="Times New Roman"/>
          <w:b w:val="false"/>
          <w:i w:val="false"/>
          <w:color w:val="000000"/>
          <w:sz w:val="22"/>
        </w:rPr>
        <w:t xml:space="preserve">The licensee or registrant shall submit a written report to the department within 30 days following any planned special exposure conducted in accordance with subrule </w:t>
      </w:r>
      <w:hyperlink r:id="rId13">
        <w:r>
          <w:rPr>
            <w:rStyle w:val="Hyperlink"/>
            <w:rFonts w:ascii="Times New Roman" w:hAnsi="Times New Roman"/>
            <w:b w:val="false"/>
            <w:i w:val="false"/>
            <w:color w:val="000000"/>
            <w:sz w:val="22"/>
          </w:rPr>
          <w:t>37.12(7)</w:t>
        </w:r>
      </w:hyperlink>
      <w:r>
        <w:rPr>
          <w:rFonts w:ascii="Times New Roman" w:hAnsi="Times New Roman"/>
          <w:b w:val="false"/>
          <w:i w:val="false"/>
          <w:color w:val="000000"/>
          <w:sz w:val="22"/>
        </w:rPr>
        <w:t xml:space="preserve"> informing the department that a planned special exposure was conducted and indicating the date of the planned special exposure and the information required by subrule </w:t>
      </w:r>
      <w:hyperlink r:id="rId14">
        <w:r>
          <w:rPr>
            <w:rStyle w:val="Hyperlink"/>
            <w:rFonts w:ascii="Times New Roman" w:hAnsi="Times New Roman"/>
            <w:b w:val="false"/>
            <w:i w:val="false"/>
            <w:color w:val="000000"/>
            <w:sz w:val="22"/>
          </w:rPr>
          <w:t>37.12(7)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37.13(9)</w:t>
      </w:r>
      <w:r>
        <w:rPr>
          <w:rFonts w:ascii="Times New Roman" w:hAnsi="Times New Roman"/>
          <w:b w:val="false"/>
          <w:i w:val="false"/>
          <w:color w:val="000000"/>
          <w:sz w:val="22"/>
        </w:rPr>
        <w:t> </w:t>
      </w:r>
      <w:r>
        <w:rPr>
          <w:rFonts w:ascii="Times New Roman" w:hAnsi="Times New Roman"/>
          <w:b w:val="false"/>
          <w:i/>
          <w:color w:val="000000"/>
          <w:sz w:val="22"/>
        </w:rPr>
        <w:t xml:space="preserve">Notifications and reports to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notification and reports to individuals of exposure to radiation or radioactive material are specified in subrule </w:t>
      </w:r>
      <w:hyperlink r:id="rId15">
        <w:r>
          <w:rPr>
            <w:rStyle w:val="Hyperlink"/>
            <w:rFonts w:ascii="Times New Roman" w:hAnsi="Times New Roman"/>
            <w:b w:val="false"/>
            <w:i w:val="false"/>
            <w:color w:val="000000"/>
            <w:sz w:val="22"/>
          </w:rPr>
          <w:t>37.14(3)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or registrant is required pursuant to subrule </w:t>
      </w:r>
      <w:hyperlink r:id="rId16">
        <w:r>
          <w:rPr>
            <w:rStyle w:val="Hyperlink"/>
            <w:rFonts w:ascii="Times New Roman" w:hAnsi="Times New Roman"/>
            <w:b w:val="false"/>
            <w:i w:val="false"/>
            <w:color w:val="000000"/>
            <w:sz w:val="22"/>
          </w:rPr>
          <w:t>37.13(8)</w:t>
        </w:r>
      </w:hyperlink>
      <w:r>
        <w:rPr>
          <w:rFonts w:ascii="Times New Roman" w:hAnsi="Times New Roman"/>
          <w:b w:val="false"/>
          <w:i w:val="false"/>
          <w:color w:val="000000"/>
          <w:sz w:val="22"/>
        </w:rPr>
        <w:t xml:space="preserve"> to report to the department any exposure of an identified occupationally exposed individual, or an identified member of the public, to radiation or radioactive material, the licensee or registrant shall also provide a copy of the report submitted to the department to the individual. Such notice shall be transmitted at a time not later than the transmittal to the department and shall comply with the provisions of subrule </w:t>
      </w:r>
      <w:hyperlink r:id="rId17">
        <w:r>
          <w:rPr>
            <w:rStyle w:val="Hyperlink"/>
            <w:rFonts w:ascii="Times New Roman" w:hAnsi="Times New Roman"/>
            <w:b w:val="false"/>
            <w:i w:val="false"/>
            <w:color w:val="000000"/>
            <w:sz w:val="22"/>
          </w:rPr>
          <w:t>37.14(3)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37.13.pdf" Type="http://schemas.openxmlformats.org/officeDocument/2006/relationships/hyperlink" Id="rId4"/>
    <Relationship TargetMode="External" Target="https://www.legis.iowa.gov/docs/iac/rule/641.37.13.pdf" Type="http://schemas.openxmlformats.org/officeDocument/2006/relationships/hyperlink" Id="rId5"/>
    <Relationship TargetMode="External" Target="https://www.legis.iowa.gov/docs/iac/rule/641.37.13.pdf" Type="http://schemas.openxmlformats.org/officeDocument/2006/relationships/hyperlink" Id="rId6"/>
    <Relationship TargetMode="External" Target="https://www.legis.iowa.gov/docs/iac/rule/641.37.13.pdf" Type="http://schemas.openxmlformats.org/officeDocument/2006/relationships/hyperlink" Id="rId7"/>
    <Relationship TargetMode="External" Target="https://www.legis.iowa.gov/docs/iac/rule/641.37.13.pdf" Type="http://schemas.openxmlformats.org/officeDocument/2006/relationships/hyperlink" Id="rId8"/>
    <Relationship TargetMode="External" Target="https://www.legis.iowa.gov/docs/iac/rule/641.37.13.pdf" Type="http://schemas.openxmlformats.org/officeDocument/2006/relationships/hyperlink" Id="rId9"/>
    <Relationship TargetMode="External" Target="https://www.legis.iowa.gov/docs/iac/rule/641.37.13.pdf" Type="http://schemas.openxmlformats.org/officeDocument/2006/relationships/hyperlink" Id="rId10"/>
    <Relationship TargetMode="External" Target="https://www.legis.iowa.gov/docs/iac/rule/641.37.13.pdf" Type="http://schemas.openxmlformats.org/officeDocument/2006/relationships/hyperlink" Id="rId11"/>
    <Relationship TargetMode="External" Target="https://www.legis.iowa.gov/docs/iac/rule/641.37.13.pdf" Type="http://schemas.openxmlformats.org/officeDocument/2006/relationships/hyperlink" Id="rId12"/>
    <Relationship TargetMode="External" Target="https://www.legis.iowa.gov/docs/iac/rule/641.37.12.pdf" Type="http://schemas.openxmlformats.org/officeDocument/2006/relationships/hyperlink" Id="rId13"/>
    <Relationship TargetMode="External" Target="https://www.legis.iowa.gov/docs/iac/rule/641.37.12.pdf" Type="http://schemas.openxmlformats.org/officeDocument/2006/relationships/hyperlink" Id="rId14"/>
    <Relationship TargetMode="External" Target="https://www.legis.iowa.gov/docs/iac/rule/641.37.14.pdf" Type="http://schemas.openxmlformats.org/officeDocument/2006/relationships/hyperlink" Id="rId15"/>
    <Relationship TargetMode="External" Target="https://www.legis.iowa.gov/docs/iac/rule/641.37.13.pdf" Type="http://schemas.openxmlformats.org/officeDocument/2006/relationships/hyperlink" Id="rId16"/>
    <Relationship TargetMode="External" Target="https://www.legis.iowa.gov/docs/iac/rule/641.37.14.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