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641—37.10</w:t>
      </w:r>
      <w:r>
        <w:rPr>
          <w:rFonts w:ascii="Times New Roman" w:hAnsi="Times New Roman"/>
          <w:b/>
          <w:i w:val="false"/>
          <w:color w:val="000000"/>
          <w:sz w:val="22"/>
        </w:rPr>
        <w:t xml:space="preserve">(136C) </w:t>
      </w:r>
      <w:r>
        <w:rPr>
          <w:rFonts w:ascii="Times New Roman" w:hAnsi="Times New Roman"/>
          <w:b/>
          <w:i w:val="false"/>
          <w:color w:val="000000"/>
          <w:sz w:val="22"/>
        </w:rPr>
        <w:t xml:space="preserve">Administrative enforcement actions. </w:t>
      </w:r>
      <w:r>
        <w:rPr>
          <w:rFonts w:ascii="Times New Roman" w:hAnsi="Times New Roman"/>
          <w:b w:val="false"/>
          <w:i w:val="false"/>
          <w:color w:val="000000"/>
          <w:sz w:val="22"/>
        </w:rPr>
        <w:t>This rule prescribes the procedure in cases initiated by the staff, or upon a request by any person, to impose requirements by order; to modify, suspend, or revoke a license, registration, or certificate; or to take other action as may be proper against any person subject to the jurisdiction of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term “regulated entity” as used in this rule refers to any facility, person, partnership, corporation or other organization that is regulated by the department by virtue of these rules, the Iowa Code, licensing documents, registrations, certificates, or other official regulatory promulgation.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“Authorization” means license, registration, certificate, permit, or any other document issued or received by the department that authorizes specific activities related to the possession and use of radioactive materials or radiation-producing machines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This rule also prescribes the procedures in cases initiated by the staff to impose civil penalties pursuant to Iowa Code section </w:t>
      </w:r>
      <w:hyperlink r:id="rId4">
        <w:r>
          <w:rPr>
            <w:rStyle w:val="Hyperlink"/>
            <w:rFonts w:ascii="Times New Roman" w:hAnsi="Times New Roman"/>
            <w:b w:val="false"/>
            <w:i w:val="false"/>
            <w:color w:val="000000"/>
            <w:sz w:val="22"/>
          </w:rPr>
          <w:t>136C.4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37.10(1)</w:t>
      </w:r>
      <w:r>
        <w:rPr>
          <w:rFonts w:ascii="Times New Roman" w:hAnsi="Times New Roman"/>
          <w:b w:val="false"/>
          <w:i w:val="false"/>
          <w:color w:val="000000"/>
          <w:sz w:val="22"/>
        </w:rPr>
        <w:t> </w:t>
      </w:r>
      <w:r>
        <w:rPr>
          <w:rFonts w:ascii="Times New Roman" w:hAnsi="Times New Roman"/>
          <w:b w:val="false"/>
          <w:i/>
          <w:color w:val="000000"/>
          <w:sz w:val="22"/>
        </w:rPr>
        <w:t xml:space="preserve">Notice of violation.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response to an alleged violation of any provision of the Iowa Code, these rules, the conditions of an authorization issued by the department or any order issued by the department, the department may serve on the regulated entity a written notice of violation; a separate notice may be omitted if an order pursuant to subrule </w:t>
      </w:r>
      <w:hyperlink r:id="rId5">
        <w:r>
          <w:rPr>
            <w:rStyle w:val="Hyperlink"/>
            <w:rFonts w:ascii="Times New Roman" w:hAnsi="Times New Roman"/>
            <w:b w:val="false"/>
            <w:i w:val="false"/>
            <w:color w:val="000000"/>
            <w:sz w:val="22"/>
          </w:rPr>
          <w:t>37.10(2)</w:t>
        </w:r>
      </w:hyperlink>
      <w:r>
        <w:rPr>
          <w:rFonts w:ascii="Times New Roman" w:hAnsi="Times New Roman"/>
          <w:b w:val="false"/>
          <w:i w:val="false"/>
          <w:color w:val="000000"/>
          <w:sz w:val="22"/>
        </w:rPr>
        <w:t xml:space="preserve"> or demand for information pursuant to subrule </w:t>
      </w:r>
      <w:hyperlink r:id="rId6">
        <w:r>
          <w:rPr>
            <w:rStyle w:val="Hyperlink"/>
            <w:rFonts w:ascii="Times New Roman" w:hAnsi="Times New Roman"/>
            <w:b w:val="false"/>
            <w:i w:val="false"/>
            <w:color w:val="000000"/>
            <w:sz w:val="22"/>
          </w:rPr>
          <w:t>37.10(4)</w:t>
        </w:r>
      </w:hyperlink>
      <w:r>
        <w:rPr>
          <w:rFonts w:ascii="Times New Roman" w:hAnsi="Times New Roman"/>
          <w:b w:val="false"/>
          <w:i w:val="false"/>
          <w:color w:val="000000"/>
          <w:sz w:val="22"/>
        </w:rPr>
        <w:t xml:space="preserve"> is issued that otherwise identifies the apparent violation. The notice of violation will concisely state the alleged violation(s) and will require that the regulated entity submit, within 30 days of the date of the notice or other specified time, a written explanation or statement in reply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Corrective steps that have been taken by the regulated entity and the results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Corrective action that will be taken to prevent recurrence;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when full compliance will be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may require the regulated entity subject to the jurisdiction of the department to admit or deny the violation and to state the reasons for the violation, if admitted. It may provide that, if an adequate reply is not received within the time specified in the notice, the department may issue an order or a demand for information as to why the authorization should not be modified, suspended, or revoked or why such other action as may be proper should not be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Violations are categorized according to five levels of severity, which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Severity levels I and II: Violations are of very significant regulatory concern involving actual or high potential impact on the public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Severity level III: Violations are cause for significant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Severity level IV: Violations are less serious but are of more than minor concern and that, if left uncorrected, could lead to a more serious health and safety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Severity level V: Violations are of minor safety or environmental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group of violations may be evaluated in the aggregate and assigned a single higher severity level if the violations have the same underlying cause or if the violations contributed to or were unavoidable consequences of the underlying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severity level of a violation may be increased if the violation can be considered a repetitive violation. The term “repetitive violation” or “similar violation” means a violation that reasonably could have been prevented by a regulated entity’s corrective action for a previous violation normally occurring within the past two years of the inspection at issue or the period within the last two inspections,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severity level of a violation may be increased if the violation involves casual disregard of requirements, deception, or other indications of willfulness. The term “willfulness” is that characteristic of violations ranging from deliberate intent to violate or falsify to intentional disregard for 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37.10(2)</w:t>
      </w:r>
      <w:r>
        <w:rPr>
          <w:rFonts w:ascii="Times New Roman" w:hAnsi="Times New Roman"/>
          <w:b w:val="false"/>
          <w:i w:val="false"/>
          <w:color w:val="000000"/>
          <w:sz w:val="22"/>
        </w:rPr>
        <w:t> </w:t>
      </w:r>
      <w:r>
        <w:rPr>
          <w:rFonts w:ascii="Times New Roman" w:hAnsi="Times New Roman"/>
          <w:b w:val="false"/>
          <w:i/>
          <w:color w:val="000000"/>
          <w:sz w:val="22"/>
        </w:rPr>
        <w:t xml:space="preserve">Enforcement orders.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institute a proceeding to modify, suspend, or revoke an authorization or to take other action as may be proper by serving on the regulated entity an order that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Allege the violations with which the regulated entity is charged or the potentially hazardous conditions or other facts deemed to be sufficient grounds for the proposed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that the regulated entity may file a written answer to the order under oath or affirmation within 20 days of its date or such other time as may be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 the regulated entity of its right, within 20 days of the date of the order or such other time as may be specified in the order, to demand a hearing on all or part of the order, except in a case where the regulated entity has consented in writing to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Specify the issues for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State the effective date of the order; if the department finds that the public health, safety, or interest so requires or that the violation or conduct causing the violation is willful, the order may provide, for stated reasons, that the proposed action be immediately effective pending further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regulated entity who receives an order may respond to an order under this subrule by filing a written answer under oath or affirmation. The answer shall specifically admit or deny each allegation or charge made in the order and may set forth the matters of fact and law on which the regulated entity relies and, if the order is not consented to, the reasons as to why the order should not have been issued. Except as provided in paragraph </w:t>
      </w:r>
      <w:hyperlink r:id="rId7">
        <w:r>
          <w:rPr>
            <w:rStyle w:val="Hyperlink"/>
            <w:rFonts w:ascii="Times New Roman" w:hAnsi="Times New Roman"/>
            <w:b w:val="false"/>
            <w:i w:val="false"/>
            <w:color w:val="000000"/>
            <w:sz w:val="22"/>
          </w:rPr>
          <w:t>37.10(2)</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answer may demand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answer demands a hearing, the department will issue an order designating the time and place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answer or stipulation may consent to the entry of an order in substantially the form proposed in the order with respect to all or some of the actions proposed in the order. The consent, in the answer or other written document, of the regulated entity to whom the order has been issued shall constitute a waiver by the regulated entity of a hearing, findings of fact and conclusions of law, and of all right to seek department and judicial review or to contest the validity of the order in any forum as to those matters that have been consented to or agreed to or on which a hearing has not been requested. An order that has been consented to shall have the same force and effect as an order made after hearing by a presiding officer or the department and shall be effective as provided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37.10(3)</w:t>
      </w:r>
      <w:r>
        <w:rPr>
          <w:rFonts w:ascii="Times New Roman" w:hAnsi="Times New Roman"/>
          <w:b w:val="false"/>
          <w:i w:val="false"/>
          <w:color w:val="000000"/>
          <w:sz w:val="22"/>
        </w:rPr>
        <w:t> </w:t>
      </w:r>
      <w:r>
        <w:rPr>
          <w:rFonts w:ascii="Times New Roman" w:hAnsi="Times New Roman"/>
          <w:b w:val="false"/>
          <w:i/>
          <w:color w:val="000000"/>
          <w:sz w:val="22"/>
        </w:rPr>
        <w:t xml:space="preserve">Settlement and compromise. </w:t>
      </w:r>
      <w:r>
        <w:rPr>
          <w:rFonts w:ascii="Times New Roman" w:hAnsi="Times New Roman"/>
          <w:b w:val="false"/>
          <w:i w:val="false"/>
          <w:color w:val="000000"/>
          <w:sz w:val="22"/>
        </w:rPr>
        <w:t>At any time after the issuance of an order designating the time and place of hearing in a proceeding to modify, suspend, or revoke an authorization, the staff and a regulated entity may enter into a stipulation for the settlement of the proceeding or the compromise of a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37.10(4)</w:t>
      </w:r>
      <w:r>
        <w:rPr>
          <w:rFonts w:ascii="Times New Roman" w:hAnsi="Times New Roman"/>
          <w:b w:val="false"/>
          <w:i w:val="false"/>
          <w:color w:val="000000"/>
          <w:sz w:val="22"/>
        </w:rPr>
        <w:t> </w:t>
      </w:r>
      <w:r>
        <w:rPr>
          <w:rFonts w:ascii="Times New Roman" w:hAnsi="Times New Roman"/>
          <w:b w:val="false"/>
          <w:i/>
          <w:color w:val="000000"/>
          <w:sz w:val="22"/>
        </w:rPr>
        <w:t xml:space="preserve">Demand for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to a regulated entity a demand for information for the purpose of determining whether an order under subrule </w:t>
      </w:r>
      <w:hyperlink r:id="rId8">
        <w:r>
          <w:rPr>
            <w:rStyle w:val="Hyperlink"/>
            <w:rFonts w:ascii="Times New Roman" w:hAnsi="Times New Roman"/>
            <w:b w:val="false"/>
            <w:i w:val="false"/>
            <w:color w:val="000000"/>
            <w:sz w:val="22"/>
          </w:rPr>
          <w:t>37.10(2)</w:t>
        </w:r>
      </w:hyperlink>
      <w:r>
        <w:rPr>
          <w:rFonts w:ascii="Times New Roman" w:hAnsi="Times New Roman"/>
          <w:b w:val="false"/>
          <w:i w:val="false"/>
          <w:color w:val="000000"/>
          <w:sz w:val="22"/>
        </w:rPr>
        <w:t xml:space="preserve"> should be issued, or whether other action should be taken, which demand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Allege the violations with which the regulated entity is charged or the potentially hazardous conditions or other facts deemed to be sufficient ground for issuing the demand;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that the regulated entity must file a written answer to the demand for information under oath or affirmation within 20 days of its date or such time as may be specified in the demand for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regulated entity to whom the department has issued a demand for information under subrule </w:t>
      </w:r>
      <w:hyperlink r:id="rId9">
        <w:r>
          <w:rPr>
            <w:rStyle w:val="Hyperlink"/>
            <w:rFonts w:ascii="Times New Roman" w:hAnsi="Times New Roman"/>
            <w:b w:val="false"/>
            <w:i w:val="false"/>
            <w:color w:val="000000"/>
            <w:sz w:val="22"/>
          </w:rPr>
          <w:t>37.10(4)</w:t>
        </w:r>
      </w:hyperlink>
      <w:r>
        <w:rPr>
          <w:rFonts w:ascii="Times New Roman" w:hAnsi="Times New Roman"/>
          <w:b w:val="false"/>
          <w:i w:val="false"/>
          <w:color w:val="000000"/>
          <w:sz w:val="22"/>
        </w:rPr>
        <w:t xml:space="preserve"> must respond to the demand by filing a written answer under oath or affirmation. The regulated entity’s answer shall specifically admit or deny each allegation or charge made in the demand for information and shall set forth the matters of fact and law on which the licensee relies. A person other than a licensee may answer as described above, or by setting forth the reasons why the demand should not have been issued and, if the requested information is not provided, the reasons why it is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review of the answer filed pursuant to subparagraph </w:t>
      </w:r>
      <w:hyperlink r:id="rId10">
        <w:r>
          <w:rPr>
            <w:rStyle w:val="Hyperlink"/>
            <w:rFonts w:ascii="Times New Roman" w:hAnsi="Times New Roman"/>
            <w:b w:val="false"/>
            <w:i w:val="false"/>
            <w:color w:val="000000"/>
            <w:sz w:val="22"/>
          </w:rPr>
          <w:t>37.10(4)</w:t>
        </w:r>
      </w:hyperlink>
      <w:r>
        <w:rPr>
          <w:rFonts w:ascii="Times New Roman" w:hAnsi="Times New Roman"/>
          <w:b w:val="false"/>
          <w:i/>
          <w:color w:val="000000"/>
          <w:sz w:val="22"/>
        </w:rPr>
        <w:t>“a”</w:t>
      </w:r>
      <w:r>
        <w:rPr>
          <w:rFonts w:ascii="Times New Roman" w:hAnsi="Times New Roman"/>
          <w:b w:val="false"/>
          <w:i w:val="false"/>
          <w:color w:val="000000"/>
          <w:sz w:val="22"/>
        </w:rPr>
        <w:t xml:space="preserve">(2), or if no answer is filed, the department may institute a proceeding pursuant to subrule </w:t>
      </w:r>
      <w:hyperlink r:id="rId11">
        <w:r>
          <w:rPr>
            <w:rStyle w:val="Hyperlink"/>
            <w:rFonts w:ascii="Times New Roman" w:hAnsi="Times New Roman"/>
            <w:b w:val="false"/>
            <w:i w:val="false"/>
            <w:color w:val="000000"/>
            <w:sz w:val="22"/>
          </w:rPr>
          <w:t>37.10(2)</w:t>
        </w:r>
      </w:hyperlink>
      <w:r>
        <w:rPr>
          <w:rFonts w:ascii="Times New Roman" w:hAnsi="Times New Roman"/>
          <w:b w:val="false"/>
          <w:i w:val="false"/>
          <w:color w:val="000000"/>
          <w:sz w:val="22"/>
        </w:rPr>
        <w:t xml:space="preserve"> to take such action as may be proper.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answer may consent to the entry of an order pursuant to subrule </w:t>
      </w:r>
      <w:hyperlink r:id="rId12">
        <w:r>
          <w:rPr>
            <w:rStyle w:val="Hyperlink"/>
            <w:rFonts w:ascii="Times New Roman" w:hAnsi="Times New Roman"/>
            <w:b w:val="false"/>
            <w:i w:val="false"/>
            <w:color w:val="000000"/>
            <w:sz w:val="22"/>
          </w:rPr>
          <w:t>37.10(2)</w:t>
        </w:r>
      </w:hyperlink>
      <w:r>
        <w:rPr>
          <w:rFonts w:ascii="Times New Roman" w:hAnsi="Times New Roman"/>
          <w:b w:val="false"/>
          <w:i w:val="false"/>
          <w:color w:val="000000"/>
          <w:sz w:val="22"/>
        </w:rPr>
        <w:t xml:space="preserve"> in substantially the form proposed in the demand for information. Such consent shall constitute a waiver as provided in subrule </w:t>
      </w:r>
      <w:hyperlink r:id="rId13">
        <w:r>
          <w:rPr>
            <w:rStyle w:val="Hyperlink"/>
            <w:rFonts w:ascii="Times New Roman" w:hAnsi="Times New Roman"/>
            <w:b w:val="false"/>
            <w:i w:val="false"/>
            <w:color w:val="000000"/>
            <w:sz w:val="22"/>
          </w:rPr>
          <w:t>37.10(2)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37.10(5)</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instituting any proceeding to impose a civil penalty under Iowa Code section </w:t>
      </w:r>
      <w:hyperlink r:id="rId14">
        <w:r>
          <w:rPr>
            <w:rStyle w:val="Hyperlink"/>
            <w:rFonts w:ascii="Times New Roman" w:hAnsi="Times New Roman"/>
            <w:b w:val="false"/>
            <w:i w:val="false"/>
            <w:color w:val="000000"/>
            <w:sz w:val="22"/>
          </w:rPr>
          <w:t>136C.4</w:t>
        </w:r>
      </w:hyperlink>
      <w:r>
        <w:rPr>
          <w:rFonts w:ascii="Times New Roman" w:hAnsi="Times New Roman"/>
          <w:b w:val="false"/>
          <w:i w:val="false"/>
          <w:color w:val="000000"/>
          <w:sz w:val="22"/>
        </w:rPr>
        <w:t xml:space="preserve">, the department will serve a written notice of violation upon the person charged. This notice may be included in a notice issued pursuant to subrule </w:t>
      </w:r>
      <w:hyperlink r:id="rId15">
        <w:r>
          <w:rPr>
            <w:rStyle w:val="Hyperlink"/>
            <w:rFonts w:ascii="Times New Roman" w:hAnsi="Times New Roman"/>
            <w:b w:val="false"/>
            <w:i w:val="false"/>
            <w:color w:val="000000"/>
            <w:sz w:val="22"/>
          </w:rPr>
          <w:t>37.10(2)</w:t>
        </w:r>
      </w:hyperlink>
      <w:r>
        <w:rPr>
          <w:rFonts w:ascii="Times New Roman" w:hAnsi="Times New Roman"/>
          <w:b w:val="false"/>
          <w:i w:val="false"/>
          <w:color w:val="000000"/>
          <w:sz w:val="22"/>
        </w:rPr>
        <w:t>. The notice of violation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Specify the date or dates, facts, and nature of the alleged act or omission with which the person is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specifically the particular provision or provisions of the law, rule, regulation, license, permit, or cease and desist order involved in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 the amount of each proposed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Advise the person charged that the civil penalty may be paid in the amount specified therein, or the proposed imposition of the civil penalty may be protested in its entirety or in part, by a written answer, either denying the violation or showing extenuating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Advise the person charged that upon failure to pay a civil penalty subsequently determined by the department, if any, unless compromised, remitted, or mitigated, the fee will be collected by civil action pursuant to Iowa Code section </w:t>
      </w:r>
      <w:hyperlink r:id="rId16">
        <w:r>
          <w:rPr>
            <w:rStyle w:val="Hyperlink"/>
            <w:rFonts w:ascii="Times New Roman" w:hAnsi="Times New Roman"/>
            <w:b w:val="false"/>
            <w:i w:val="false"/>
            <w:color w:val="000000"/>
            <w:sz w:val="22"/>
          </w:rPr>
          <w:t>136C.4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20 days of the date of a notice of violation or other time specified in the notice, the person charged may either pay the penalty in the amount proposed or answer the notice of violation. The answer to the notice of violation shall state any facts, explanations, and arguments denying the charges of violation or demonstrating any extenuating circumstances, error in the notice of violation, or other reason why the penalty should not be imposed and may request remission or mitigation of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charged with violation fails to answer within the time specified in paragraph </w:t>
      </w:r>
      <w:hyperlink r:id="rId17">
        <w:r>
          <w:rPr>
            <w:rStyle w:val="Hyperlink"/>
            <w:rFonts w:ascii="Times New Roman" w:hAnsi="Times New Roman"/>
            <w:b w:val="false"/>
            <w:i w:val="false"/>
            <w:color w:val="000000"/>
            <w:sz w:val="22"/>
          </w:rPr>
          <w:t>37.10(5)</w:t>
        </w:r>
      </w:hyperlink>
      <w:r>
        <w:rPr>
          <w:rFonts w:ascii="Times New Roman" w:hAnsi="Times New Roman"/>
          <w:b w:val="false"/>
          <w:i/>
          <w:color w:val="000000"/>
          <w:sz w:val="22"/>
        </w:rPr>
        <w:t>“b,”</w:t>
      </w:r>
      <w:r>
        <w:rPr>
          <w:rFonts w:ascii="Times New Roman" w:hAnsi="Times New Roman"/>
          <w:b w:val="false"/>
          <w:i w:val="false"/>
          <w:color w:val="000000"/>
          <w:sz w:val="22"/>
        </w:rPr>
        <w:t xml:space="preserve"> an order may be issued imposing the civil penalty in the amount set forth in the notice of violation described in paragraph </w:t>
      </w:r>
      <w:hyperlink r:id="rId18">
        <w:r>
          <w:rPr>
            <w:rStyle w:val="Hyperlink"/>
            <w:rFonts w:ascii="Times New Roman" w:hAnsi="Times New Roman"/>
            <w:b w:val="false"/>
            <w:i w:val="false"/>
            <w:color w:val="000000"/>
            <w:sz w:val="22"/>
          </w:rPr>
          <w:t>37.10(5)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person charged with violation files an answer to the notice of violation, the department, upon consideration of the answer, will issue an order dismissing the proceeding or imposing, mitigating, or remitting the civil penalty. The person charged may, within 20 days of the date of the order or other time specified in the order, request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person charged with violation requests a hearing, the department will issue an order designating the time and place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hearing is held, an order will be issued after the hearing by the presiding officer or the department dismissing the proceeding or imposing, mitigating, or remitting the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compromise any civil penalty, subject to the provisions of </w:t>
      </w:r>
      <w:hyperlink r:id="rId19">
        <w:r>
          <w:rPr>
            <w:rStyle w:val="Hyperlink"/>
            <w:rFonts w:ascii="Times New Roman" w:hAnsi="Times New Roman"/>
            <w:b w:val="false"/>
            <w:i w:val="false"/>
            <w:color w:val="000000"/>
            <w:sz w:val="22"/>
          </w:rPr>
          <w:t>641—paragraph 38.18(2)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civil penalty is not compromised, or is not remitted by the presiding officer or the department, and if payment is not made within ten days following either the service of the order described in </w:t>
      </w:r>
      <w:hyperlink r:id="rId20">
        <w:r>
          <w:rPr>
            <w:rStyle w:val="Hyperlink"/>
            <w:rFonts w:ascii="Times New Roman" w:hAnsi="Times New Roman"/>
            <w:b w:val="false"/>
            <w:i w:val="false"/>
            <w:color w:val="000000"/>
            <w:sz w:val="22"/>
          </w:rPr>
          <w:t>641—paragraph 38.18(2)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the expiration of the time for requesting a hearing described in </w:t>
      </w:r>
      <w:hyperlink r:id="rId21">
        <w:r>
          <w:rPr>
            <w:rStyle w:val="Hyperlink"/>
            <w:rFonts w:ascii="Times New Roman" w:hAnsi="Times New Roman"/>
            <w:b w:val="false"/>
            <w:i w:val="false"/>
            <w:color w:val="000000"/>
            <w:sz w:val="22"/>
          </w:rPr>
          <w:t>641—subparagraph 38.18(2)</w:t>
        </w:r>
      </w:hyperlink>
      <w:r>
        <w:rPr>
          <w:rFonts w:ascii="Times New Roman" w:hAnsi="Times New Roman"/>
          <w:b w:val="false"/>
          <w:i/>
          <w:color w:val="000000"/>
          <w:sz w:val="22"/>
        </w:rPr>
        <w:t>“a”</w:t>
      </w:r>
      <w:r>
        <w:rPr>
          <w:rFonts w:ascii="Times New Roman" w:hAnsi="Times New Roman"/>
          <w:b w:val="false"/>
          <w:i w:val="false"/>
          <w:color w:val="000000"/>
          <w:sz w:val="22"/>
        </w:rPr>
        <w:t>(3), the department may refer the matter to the attorney general for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when payment is made after compromise or mitigation by the Department of Justice or as ordered by a court of the state, following reference of the matter to the attorney general for collection, payment of civil penalties imposed under Iowa Code section </w:t>
      </w:r>
      <w:hyperlink r:id="rId22">
        <w:r>
          <w:rPr>
            <w:rStyle w:val="Hyperlink"/>
            <w:rFonts w:ascii="Times New Roman" w:hAnsi="Times New Roman"/>
            <w:b w:val="false"/>
            <w:i w:val="false"/>
            <w:color w:val="000000"/>
            <w:sz w:val="22"/>
          </w:rPr>
          <w:t>136C.4</w:t>
        </w:r>
      </w:hyperlink>
      <w:r>
        <w:rPr>
          <w:rFonts w:ascii="Times New Roman" w:hAnsi="Times New Roman"/>
          <w:b w:val="false"/>
          <w:i w:val="false"/>
          <w:color w:val="000000"/>
          <w:sz w:val="22"/>
        </w:rPr>
        <w:t xml:space="preserve"> shall be made by check, draft, or money order payable to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37.10(6)</w:t>
      </w:r>
      <w:r>
        <w:rPr>
          <w:rFonts w:ascii="Times New Roman" w:hAnsi="Times New Roman"/>
          <w:b w:val="false"/>
          <w:i w:val="false"/>
          <w:color w:val="000000"/>
          <w:sz w:val="22"/>
        </w:rPr>
        <w:t> </w:t>
      </w:r>
      <w:r>
        <w:rPr>
          <w:rFonts w:ascii="Times New Roman" w:hAnsi="Times New Roman"/>
          <w:b w:val="false"/>
          <w:i/>
          <w:color w:val="000000"/>
          <w:sz w:val="22"/>
        </w:rPr>
        <w:t xml:space="preserve">Requests for action under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may file a request to institute a proceeding pursuant to rule </w:t>
      </w:r>
      <w:hyperlink r:id="rId23">
        <w:r>
          <w:rPr>
            <w:rStyle w:val="Hyperlink"/>
            <w:rFonts w:ascii="Times New Roman" w:hAnsi="Times New Roman"/>
            <w:b w:val="false"/>
            <w:i w:val="false"/>
            <w:color w:val="000000"/>
            <w:sz w:val="22"/>
          </w:rPr>
          <w:t>641—38.18</w:t>
        </w:r>
      </w:hyperlink>
      <w:r>
        <w:rPr>
          <w:rFonts w:ascii="Times New Roman" w:hAnsi="Times New Roman"/>
          <w:b w:val="false"/>
          <w:i w:val="false"/>
          <w:color w:val="000000"/>
          <w:sz w:val="22"/>
        </w:rPr>
        <w:t>(136C) to modify, suspend, or revoke an authorization as may be proper. Such a request shall be addressed to the Chief, Bureau of Radiological Health, Iowa Department of Health and Human Services, Lucas State Office Building, 321 East 12th Street, Des Moines, Iowa 50319. The request shall specify the action requested and set forth the facts that constitute the basis for the request. The bureau chief will discuss the matter with staff to determine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a reasonable time after a request pursuant to </w:t>
      </w:r>
      <w:hyperlink r:id="rId24">
        <w:r>
          <w:rPr>
            <w:rStyle w:val="Hyperlink"/>
            <w:rFonts w:ascii="Times New Roman" w:hAnsi="Times New Roman"/>
            <w:b w:val="false"/>
            <w:i w:val="false"/>
            <w:color w:val="000000"/>
            <w:sz w:val="22"/>
          </w:rPr>
          <w:t>641—paragraph 38.18(2)</w:t>
        </w:r>
      </w:hyperlink>
      <w:r>
        <w:rPr>
          <w:rFonts w:ascii="Times New Roman" w:hAnsi="Times New Roman"/>
          <w:b w:val="false"/>
          <w:i/>
          <w:color w:val="000000"/>
          <w:sz w:val="22"/>
        </w:rPr>
        <w:t>“b”</w:t>
      </w:r>
      <w:r>
        <w:rPr>
          <w:rFonts w:ascii="Times New Roman" w:hAnsi="Times New Roman"/>
          <w:b w:val="false"/>
          <w:i w:val="false"/>
          <w:color w:val="000000"/>
          <w:sz w:val="22"/>
        </w:rPr>
        <w:t xml:space="preserve"> has been received, the bureau chief shall either institute the requested proceeding in accordance with this rule or advise the person who made the request in writing that no proceeding will be instituted, in whole or in part, with respect to the request, and the reasons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bureau chief’s decisions under this rule will be filed and within 25 days after the date of the bureau chief’s decision under this rule that no proceeding will be instituted or other action taken in whole or in part, the department may on its own motion review that decision, in whole or in part, to determine if the bureau chief has abused discretion. This review power does not limit in any way either the department’s supervisory power over delegated staff actions or the department’s power to consult with the staff on a formal or informal basis regarding institution of proceedings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petition or other request for department review of a bureau chief’s decision under this rule will be entertained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37.10(7)</w:t>
      </w:r>
      <w:r>
        <w:rPr>
          <w:rFonts w:ascii="Times New Roman" w:hAnsi="Times New Roman"/>
          <w:b w:val="false"/>
          <w:i w:val="false"/>
          <w:color w:val="000000"/>
          <w:sz w:val="22"/>
        </w:rPr>
        <w:t> </w:t>
      </w:r>
      <w:r>
        <w:rPr>
          <w:rFonts w:ascii="Times New Roman" w:hAnsi="Times New Roman"/>
          <w:b w:val="false"/>
          <w:i/>
          <w:color w:val="000000"/>
          <w:sz w:val="22"/>
        </w:rPr>
        <w:t xml:space="preserve">Impounding.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impound or order the impounding of radioactive material in the possession of a person who fails to observe the provisions of Iowa Code chapter </w:t>
      </w:r>
      <w:hyperlink r:id="rId25">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or any rules, license or registration conditions, or orders issued by this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department action is necessary to protect the public health and safety, no prior notice need be given the owner or possessor. If department action is not necessary to protect the public health and safety, the department will give to either the owner or the possessor of the source of radiation written notice of the intention to impound the source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Either the owner or the possessor shall have 20 days from the date of personal service of certified mailing to request a hearing, except in the case where the regulated entity has consented in writing to the impoundment.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hearing is requested, the department will issue an order designating the time and place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department’s direction, the impounded sources of radiation may be disposed of by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Returning the source of radiation to a properly licensed or registered owner who did not cause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Returning the source of radiation to a licensee or registrant after the emergency is over and after settlement of any compliance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Selling, destroying, or disposing of the source of radiation in another manner within the department’s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37.10(8)</w:t>
      </w:r>
      <w:r>
        <w:rPr>
          <w:rFonts w:ascii="Times New Roman" w:hAnsi="Times New Roman"/>
          <w:b w:val="false"/>
          <w:i w:val="false"/>
          <w:color w:val="000000"/>
          <w:sz w:val="22"/>
        </w:rPr>
        <w:t> </w:t>
      </w:r>
      <w:r>
        <w:rPr>
          <w:rFonts w:ascii="Times New Roman" w:hAnsi="Times New Roman"/>
          <w:b w:val="false"/>
          <w:i/>
          <w:color w:val="000000"/>
          <w:sz w:val="22"/>
        </w:rPr>
        <w:t xml:space="preserve">Deliberate misconduct.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licensee, registrant, applicant for a license or certificate of registration, employee of a licensee, registrant or applicant, or any contractor (including a supplier or consultant), subcontractor, employee of a contractor or subcontractor of any licensee or registrant or applicant for a license or certificate of registration, who knowingly provides to any licensee, applicant, registrant, contractor, or subcontractor any components, equipment, materials, or other goods or services that relate to a licensee’s, registrant’s or applicant’s activities in this rule,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Engage in deliberate misconduct that causes or would have caused, if not detected, a licensee, registrant, or applicant to be in violation of any rule, regulation, or order or any term, condition, or limitation of any license or registration issued by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Deliberately submit to the department; a licensee, registrant, or applicant; or a licensee’s, registrant’s, or applicant’s contractor or subcontractor, information that the person submitting the information knows to be incomplete or inaccurate in some respect material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violates subparagraphs </w:t>
      </w:r>
      <w:hyperlink r:id="rId26">
        <w:r>
          <w:rPr>
            <w:rStyle w:val="Hyperlink"/>
            <w:rFonts w:ascii="Times New Roman" w:hAnsi="Times New Roman"/>
            <w:b w:val="false"/>
            <w:i w:val="false"/>
            <w:color w:val="000000"/>
            <w:sz w:val="22"/>
          </w:rPr>
          <w:t>37.10(8)</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r>
        <w:rPr>
          <w:rFonts w:ascii="Times New Roman" w:hAnsi="Times New Roman"/>
          <w:b w:val="false"/>
          <w:i/>
          <w:color w:val="000000"/>
          <w:sz w:val="22"/>
        </w:rPr>
        <w:t>“a”</w:t>
      </w:r>
      <w:r>
        <w:rPr>
          <w:rFonts w:ascii="Times New Roman" w:hAnsi="Times New Roman"/>
          <w:b w:val="false"/>
          <w:i w:val="false"/>
          <w:color w:val="000000"/>
          <w:sz w:val="22"/>
        </w:rPr>
        <w:t xml:space="preserve">(2) may be subject to enforcement action in accordance with the procedures in rule </w:t>
      </w:r>
      <w:hyperlink r:id="rId27">
        <w:r>
          <w:rPr>
            <w:rStyle w:val="Hyperlink"/>
            <w:rFonts w:ascii="Times New Roman" w:hAnsi="Times New Roman"/>
            <w:b w:val="false"/>
            <w:i w:val="false"/>
            <w:color w:val="000000"/>
            <w:sz w:val="22"/>
          </w:rPr>
          <w:t>641—38.17</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chapter, deliberate misconduct by a person means an intentional act or omission that the person knows: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Would cause a licensee, registrant, or applicant to be in violation of any rule, regulation, or order or any term, condition, or limitation of any license issued by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Constitutes a violation of a requirement, procedure, instruction, contract, purchase order, or policy of a licensee, registrant, applicant, contractor, or subcontractor.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6C.4.pdf" Type="http://schemas.openxmlformats.org/officeDocument/2006/relationships/hyperlink" Id="rId4"/>
    <Relationship TargetMode="External" Target="https://www.legis.iowa.gov/docs/iac/rule/641.37.10.pdf" Type="http://schemas.openxmlformats.org/officeDocument/2006/relationships/hyperlink" Id="rId5"/>
    <Relationship TargetMode="External" Target="https://www.legis.iowa.gov/docs/iac/rule/641.37.10.pdf" Type="http://schemas.openxmlformats.org/officeDocument/2006/relationships/hyperlink" Id="rId6"/>
    <Relationship TargetMode="External" Target="https://www.legis.iowa.gov/docs/iac/rule/641.37.10.pdf" Type="http://schemas.openxmlformats.org/officeDocument/2006/relationships/hyperlink" Id="rId7"/>
    <Relationship TargetMode="External" Target="https://www.legis.iowa.gov/docs/iac/rule/641.37.10.pdf" Type="http://schemas.openxmlformats.org/officeDocument/2006/relationships/hyperlink" Id="rId8"/>
    <Relationship TargetMode="External" Target="https://www.legis.iowa.gov/docs/iac/rule/641.37.10.pdf" Type="http://schemas.openxmlformats.org/officeDocument/2006/relationships/hyperlink" Id="rId9"/>
    <Relationship TargetMode="External" Target="https://www.legis.iowa.gov/docs/iac/rule/641.37.10.pdf" Type="http://schemas.openxmlformats.org/officeDocument/2006/relationships/hyperlink" Id="rId10"/>
    <Relationship TargetMode="External" Target="https://www.legis.iowa.gov/docs/iac/rule/641.37.10.pdf" Type="http://schemas.openxmlformats.org/officeDocument/2006/relationships/hyperlink" Id="rId11"/>
    <Relationship TargetMode="External" Target="https://www.legis.iowa.gov/docs/iac/rule/641.37.10.pdf" Type="http://schemas.openxmlformats.org/officeDocument/2006/relationships/hyperlink" Id="rId12"/>
    <Relationship TargetMode="External" Target="https://www.legis.iowa.gov/docs/iac/rule/641.37.10.pdf" Type="http://schemas.openxmlformats.org/officeDocument/2006/relationships/hyperlink" Id="rId13"/>
    <Relationship TargetMode="External" Target="https://www.legis.iowa.gov/docs/ico/chapter/136C.4.pdf" Type="http://schemas.openxmlformats.org/officeDocument/2006/relationships/hyperlink" Id="rId14"/>
    <Relationship TargetMode="External" Target="https://www.legis.iowa.gov/docs/iac/rule/641.37.10.pdf" Type="http://schemas.openxmlformats.org/officeDocument/2006/relationships/hyperlink" Id="rId15"/>
    <Relationship TargetMode="External" Target="https://www.legis.iowa.gov/docs/ico/chapter/136C.4.pdf" Type="http://schemas.openxmlformats.org/officeDocument/2006/relationships/hyperlink" Id="rId16"/>
    <Relationship TargetMode="External" Target="https://www.legis.iowa.gov/docs/iac/rule/641.37.10.pdf" Type="http://schemas.openxmlformats.org/officeDocument/2006/relationships/hyperlink" Id="rId17"/>
    <Relationship TargetMode="External" Target="https://www.legis.iowa.gov/docs/iac/rule/641.37.10.pdf" Type="http://schemas.openxmlformats.org/officeDocument/2006/relationships/hyperlink" Id="rId18"/>
    <Relationship TargetMode="External" Target="https://www.legis.iowa.gov/docs/iac/rule/641.38.18.pdf" Type="http://schemas.openxmlformats.org/officeDocument/2006/relationships/hyperlink" Id="rId19"/>
    <Relationship TargetMode="External" Target="https://www.legis.iowa.gov/docs/iac/rule/641.38.18.pdf" Type="http://schemas.openxmlformats.org/officeDocument/2006/relationships/hyperlink" Id="rId20"/>
    <Relationship TargetMode="External" Target="https://www.legis.iowa.gov/docs/iac/rule/641.38.18.pdf" Type="http://schemas.openxmlformats.org/officeDocument/2006/relationships/hyperlink" Id="rId21"/>
    <Relationship TargetMode="External" Target="https://www.legis.iowa.gov/docs/ico/chapter/136C.4.pdf" Type="http://schemas.openxmlformats.org/officeDocument/2006/relationships/hyperlink" Id="rId22"/>
    <Relationship TargetMode="External" Target="https://www.legis.iowa.gov/docs/iac/rule/641.38.18.pdf" Type="http://schemas.openxmlformats.org/officeDocument/2006/relationships/hyperlink" Id="rId23"/>
    <Relationship TargetMode="External" Target="https://www.legis.iowa.gov/docs/iac/rule/641.38.18.pdf" Type="http://schemas.openxmlformats.org/officeDocument/2006/relationships/hyperlink" Id="rId24"/>
    <Relationship TargetMode="External" Target="https://www.legis.iowa.gov/docs/ico/chapter/136C.pdf" Type="http://schemas.openxmlformats.org/officeDocument/2006/relationships/hyperlink" Id="rId25"/>
    <Relationship TargetMode="External" Target="https://www.legis.iowa.gov/docs/iac/rule/641.37.10.pdf" Type="http://schemas.openxmlformats.org/officeDocument/2006/relationships/hyperlink" Id="rId26"/>
    <Relationship TargetMode="External" Target="https://www.legis.iowa.gov/docs/iac/rule/641.38.17.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