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605—13.1</w:t>
      </w:r>
      <w:r>
        <w:rPr>
          <w:rFonts w:ascii="Times New Roman" w:hAnsi="Times New Roman"/>
          <w:b/>
          <w:i w:val="false"/>
          <w:color w:val="000000"/>
          <w:sz w:val="22"/>
        </w:rPr>
        <w:t xml:space="preserve">(90GA,HF2652)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produce and post a list of vendors and products on the department’s website meeting the criteria in rule </w:t>
      </w:r>
      <w:hyperlink r:id="rId4">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(90GA,HF2652).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list will be established through an application form posted on the department’s website at </w:t>
      </w:r>
      <w:hyperlink r:id="rId5">
        <w:r>
          <w:rPr>
            <w:rStyle w:val="Hyperlink"/>
            <w:rFonts w:ascii="Times New Roman" w:hAnsi="Times New Roman"/>
            <w:b w:val="false"/>
            <w:i w:val="false"/>
            <w:color w:val="000000"/>
            <w:sz w:val="22"/>
            <w:u w:val="single"/>
          </w:rPr>
          <w:t>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13.1(3)</w:t>
      </w:r>
      <w:r>
        <w:rPr>
          <w:rFonts w:ascii="Times New Roman" w:hAnsi="Times New Roman"/>
          <w:b w:val="false"/>
          <w:i w:val="false"/>
          <w:color w:val="000000"/>
          <w:sz w:val="22"/>
        </w:rPr>
        <w:t> </w:t>
      </w:r>
      <w:r>
        <w:rPr>
          <w:rFonts w:ascii="Times New Roman" w:hAnsi="Times New Roman"/>
          <w:b w:val="false"/>
          <w:i w:val="false"/>
          <w:color w:val="000000"/>
          <w:sz w:val="22"/>
        </w:rPr>
        <w:t>Vendors wishing to be added to the list at any time may submit the application found on the department’s website for consideration and inclusion on the department’s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13.1(4)</w:t>
      </w:r>
      <w:r>
        <w:rPr>
          <w:rFonts w:ascii="Times New Roman" w:hAnsi="Times New Roman"/>
          <w:b w:val="false"/>
          <w:i w:val="false"/>
          <w:color w:val="000000"/>
          <w:sz w:val="22"/>
        </w:rPr>
        <w:t> </w:t>
      </w:r>
      <w:r>
        <w:rPr>
          <w:rFonts w:ascii="Times New Roman" w:hAnsi="Times New Roman"/>
          <w:b w:val="false"/>
          <w:i w:val="false"/>
          <w:color w:val="000000"/>
          <w:sz w:val="22"/>
        </w:rPr>
        <w:t xml:space="preserve"> Transitional compliance and retroactive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or accredited nonpublic school that purchased an unholstered weapons detection system after May 17, 2024, but prior to the department’s first publication of the approved organization list, shall be deemed in compliance with Iowa Code section </w:t>
      </w:r>
      <w:hyperlink r:id="rId6">
        <w:r>
          <w:rPr>
            <w:rStyle w:val="Hyperlink"/>
            <w:rFonts w:ascii="Times New Roman" w:hAnsi="Times New Roman"/>
            <w:b w:val="false"/>
            <w:i w:val="false"/>
            <w:color w:val="000000"/>
            <w:sz w:val="22"/>
          </w:rPr>
          <w:t>279.86</w:t>
        </w:r>
      </w:hyperlink>
      <w:r>
        <w:rPr>
          <w:rFonts w:ascii="Times New Roman" w:hAnsi="Times New Roman"/>
          <w:b w:val="false"/>
          <w:i w:val="false"/>
          <w:color w:val="000000"/>
          <w:sz w:val="22"/>
        </w:rPr>
        <w:t xml:space="preserve"> and this chapter,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organization and product are subsequently added to the approved list;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school provides documentation to the department demonstrating that the organization and product met the eligibility criteria in rule </w:t>
      </w:r>
      <w:hyperlink r:id="rId7">
        <w:r>
          <w:rPr>
            <w:rStyle w:val="Hyperlink"/>
            <w:rFonts w:ascii="Times New Roman" w:hAnsi="Times New Roman"/>
            <w:b w:val="false"/>
            <w:i w:val="false"/>
            <w:color w:val="000000"/>
            <w:sz w:val="22"/>
          </w:rPr>
          <w:t>605—13.2</w:t>
        </w:r>
      </w:hyperlink>
      <w:r>
        <w:rPr>
          <w:rFonts w:ascii="Times New Roman" w:hAnsi="Times New Roman"/>
          <w:b w:val="false"/>
          <w:i w:val="false"/>
          <w:color w:val="000000"/>
          <w:sz w:val="22"/>
        </w:rPr>
        <w:t xml:space="preserve">(90GA,HF2652) at the time of purchase.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Systems approved under this subrule may continue to be used and maintained for the duration of the existing contract or the operational life of the equipment, whichever is shorter, without requiring a new procurement from the approved list.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8906C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i w:val="false"/>
          <w:color w:val="000000"/>
          <w:sz w:val="16"/>
        </w:rPr>
        <w:t>ARC 0395D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05.13.2.pdf" Type="http://schemas.openxmlformats.org/officeDocument/2006/relationships/hyperlink" Id="rId4"/>
    <Relationship TargetMode="External" Target="http://homelandsecurity.iowa.gov" Type="http://schemas.openxmlformats.org/officeDocument/2006/relationships/hyperlink" Id="rId5"/>
    <Relationship TargetMode="External" Target="https://www.legis.iowa.gov/docs/ico/chapter/279.86.pdf" Type="http://schemas.openxmlformats.org/officeDocument/2006/relationships/hyperlink" Id="rId6"/>
    <Relationship TargetMode="External" Target="https://www.legis.iowa.gov/docs/iac/rule/605.13.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