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 appealed.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city may appeal a tax rate suspension decision by the director of the department to the city finance committee. The appeal is to be submitted in writing no later than February 1 to the committee at the committee’s mailing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24.48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4.4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