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545—5.4</w:t>
      </w:r>
      <w:r>
        <w:rPr>
          <w:rFonts w:ascii="Times New Roman" w:hAnsi="Times New Roman"/>
          <w:b/>
          <w:i w:val="false"/>
          <w:color w:val="000000"/>
          <w:sz w:val="22"/>
        </w:rPr>
        <w:t xml:space="preserve">(384) </w:t>
      </w:r>
      <w:r>
        <w:rPr>
          <w:rFonts w:ascii="Times New Roman" w:hAnsi="Times New Roman"/>
          <w:b/>
          <w:i w:val="false"/>
          <w:color w:val="000000"/>
          <w:sz w:val="22"/>
        </w:rPr>
        <w:t xml:space="preserve">Documentation. </w:t>
      </w:r>
      <w:r>
        <w:rPr>
          <w:rFonts w:ascii="Times New Roman" w:hAnsi="Times New Roman"/>
          <w:b w:val="false"/>
          <w:i w:val="false"/>
          <w:color w:val="000000"/>
          <w:sz w:val="22"/>
        </w:rPr>
        <w:t>Claims for reimbursement of law enforcement officer training costs are to be accompanied by proper documentation. Such documentation may include copies of invoices, canceled checks, salary and benefits schedules and any other supporting documents deemed necessary by the city finance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