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545—5.3</w:t>
      </w:r>
      <w:r>
        <w:rPr>
          <w:rFonts w:ascii="Times New Roman" w:hAnsi="Times New Roman"/>
          <w:b/>
          <w:i w:val="false"/>
          <w:color w:val="000000"/>
          <w:sz w:val="22"/>
        </w:rPr>
        <w:t xml:space="preserve">(384) </w:t>
      </w:r>
      <w:r>
        <w:rPr>
          <w:rFonts w:ascii="Times New Roman" w:hAnsi="Times New Roman"/>
          <w:b/>
          <w:i w:val="false"/>
          <w:color w:val="000000"/>
          <w:sz w:val="22"/>
        </w:rPr>
        <w:t xml:space="preserve">Filing of claims. </w:t>
      </w:r>
      <w:r>
        <w:rPr>
          <w:rFonts w:ascii="Times New Roman" w:hAnsi="Times New Roman"/>
          <w:b w:val="false"/>
          <w:i w:val="false"/>
          <w:color w:val="000000"/>
          <w:sz w:val="22"/>
        </w:rPr>
        <w:t>Claims for reimbursement are to be filed on forms prescribed by the director and obtainable from the department.</w:t>
      </w:r>
    </w:p>
    <w:p>
      <w:pPr>
        <w:spacing w:before="0" w:after="0"/>
        <w:ind w:left="120"/>
        <w:jc w:val="both"/>
      </w:pPr>
      <w:r>
        <w:rPr>
          <w:rFonts w:ascii="Times New Roman" w:hAnsi="Times New Roman"/>
          <w:b w:val="false"/>
          <w:i w:val="false"/>
          <w:color w:val="000000"/>
          <w:sz w:val="22"/>
        </w:rPr>
        <w:t>Claims for payment are to be filed with the department at the committee’s mailing address. Claims need to be filed within 90 days after the officer has resigned. If a reasonable cause can be shown, the due date may be waived. Claims filed after May 15 of any fiscal year will be considered for reimbursement in the following fiscal year. No more than one claim may be submitted for each reimbursable expense.</w:t>
      </w:r>
    </w:p>
    <w:p>
      <w:pPr>
        <w:spacing w:before="0" w:after="0"/>
        <w:ind w:left="120"/>
        <w:jc w:val="both"/>
      </w:pPr>
      <w:r>
        <w:rPr>
          <w:rFonts w:ascii="Times New Roman" w:hAnsi="Times New Roman"/>
          <w:b w:val="false"/>
          <w:i w:val="false"/>
          <w:color w:val="000000"/>
          <w:sz w:val="22"/>
        </w:rPr>
        <w:t>Claims are to be signed by the mayor or chairperson of the board of supervisors and attested by the city clerk or county auditor.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0393D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